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19A75" w14:textId="0831FBD6" w:rsidR="00CE27FB" w:rsidRDefault="00D14737">
      <w:pPr>
        <w:pStyle w:val="Header"/>
        <w:tabs>
          <w:tab w:val="clear" w:pos="9639"/>
          <w:tab w:val="right" w:pos="5954"/>
        </w:tabs>
        <w:spacing w:after="240"/>
        <w:jc w:val="right"/>
        <w:rPr>
          <w:rFonts w:ascii="Calibri" w:hAnsi="Calibri"/>
        </w:rPr>
      </w:pPr>
      <w:r>
        <w:rPr>
          <w:rFonts w:ascii="Calibri" w:hAnsi="Calibri"/>
        </w:rPr>
        <w:t xml:space="preserve">Input paper: </w:t>
      </w:r>
      <w:r>
        <w:rPr>
          <w:rStyle w:val="FootnoteReference"/>
          <w:rFonts w:ascii="Calibri" w:hAnsi="Calibri"/>
          <w:sz w:val="22"/>
          <w:vertAlign w:val="superscript"/>
        </w:rPr>
        <w:footnoteReference w:id="1"/>
      </w:r>
      <w:r>
        <w:rPr>
          <w:rFonts w:ascii="Calibri" w:hAnsi="Calibri"/>
        </w:rPr>
        <w:t xml:space="preserve">  VTS</w:t>
      </w:r>
      <w:r>
        <w:rPr>
          <w:rFonts w:ascii="Calibri" w:hAnsi="Calibri" w:hint="eastAsia"/>
          <w:lang w:val="en-US" w:eastAsia="zh-CN"/>
        </w:rPr>
        <w:t>60</w:t>
      </w:r>
      <w:r>
        <w:rPr>
          <w:rFonts w:ascii="Calibri" w:hAnsi="Calibri"/>
        </w:rPr>
        <w:t>-</w:t>
      </w:r>
      <w:r w:rsidR="00FD1021">
        <w:rPr>
          <w:rFonts w:ascii="Calibri" w:hAnsi="Calibri"/>
        </w:rPr>
        <w:t>9.1.3</w:t>
      </w:r>
    </w:p>
    <w:p w14:paraId="1DA19A76" w14:textId="77777777" w:rsidR="00CE27FB" w:rsidRDefault="00CE27FB">
      <w:pPr>
        <w:pStyle w:val="BodyText"/>
        <w:tabs>
          <w:tab w:val="left" w:pos="2835"/>
        </w:tabs>
        <w:rPr>
          <w:rFonts w:ascii="Calibri" w:hAnsi="Calibri"/>
        </w:rPr>
      </w:pPr>
    </w:p>
    <w:p w14:paraId="1DA19A77" w14:textId="77777777" w:rsidR="00CE27FB" w:rsidRDefault="00CE27FB">
      <w:pPr>
        <w:pStyle w:val="BodyText"/>
        <w:tabs>
          <w:tab w:val="left" w:pos="2835"/>
        </w:tabs>
        <w:rPr>
          <w:rFonts w:ascii="Calibri" w:hAnsi="Calibri"/>
        </w:rPr>
      </w:pPr>
    </w:p>
    <w:p w14:paraId="1DA19A78" w14:textId="77777777" w:rsidR="00CE27FB" w:rsidRDefault="00D14737">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1DA19A79" w14:textId="77777777" w:rsidR="00CE27FB" w:rsidRDefault="00D14737">
      <w:pPr>
        <w:pStyle w:val="BodyText"/>
        <w:tabs>
          <w:tab w:val="left" w:pos="1843"/>
        </w:tabs>
        <w:rPr>
          <w:rFonts w:ascii="Calibri" w:hAnsi="Calibri" w:cs="Arial"/>
          <w:b/>
          <w:sz w:val="24"/>
          <w:szCs w:val="24"/>
        </w:rPr>
      </w:pPr>
      <w:r>
        <w:rPr>
          <w:rFonts w:ascii="Calibri" w:hAnsi="Calibri" w:cs="Arial"/>
          <w:b/>
          <w:sz w:val="24"/>
          <w:szCs w:val="24"/>
        </w:rPr>
        <w:t>□</w:t>
      </w:r>
      <w:r>
        <w:rPr>
          <w:rFonts w:ascii="Calibri" w:hAnsi="Calibri" w:cs="Arial"/>
          <w:sz w:val="24"/>
          <w:szCs w:val="24"/>
        </w:rPr>
        <w:t xml:space="preserve">  </w:t>
      </w:r>
      <w:r>
        <w:rPr>
          <w:rFonts w:ascii="Calibri" w:hAnsi="Calibri" w:cs="Arial"/>
        </w:rPr>
        <w:t>ARM</w:t>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b/>
          <w:sz w:val="24"/>
          <w:szCs w:val="24"/>
        </w:rPr>
        <w:t>X</w:t>
      </w:r>
      <w:r>
        <w:rPr>
          <w:rFonts w:ascii="Calibri" w:hAnsi="Calibri" w:cs="Arial"/>
          <w:sz w:val="24"/>
          <w:szCs w:val="24"/>
        </w:rPr>
        <w:t xml:space="preserve">  Input</w:t>
      </w:r>
    </w:p>
    <w:p w14:paraId="1DA19A7A" w14:textId="77777777" w:rsidR="00CE27FB" w:rsidRDefault="00D14737">
      <w:pPr>
        <w:pStyle w:val="BodyText"/>
        <w:tabs>
          <w:tab w:val="left" w:pos="1843"/>
        </w:tabs>
        <w:rPr>
          <w:rFonts w:ascii="Calibri" w:hAnsi="Calibri"/>
        </w:rPr>
      </w:pPr>
      <w:r>
        <w:rPr>
          <w:rFonts w:ascii="Calibri" w:hAnsi="Calibri" w:cs="Arial"/>
          <w:b/>
          <w:sz w:val="24"/>
          <w:szCs w:val="24"/>
        </w:rPr>
        <w:t>□</w:t>
      </w:r>
      <w:r>
        <w:rPr>
          <w:rFonts w:ascii="Calibri" w:hAnsi="Calibri" w:cs="Arial"/>
          <w:sz w:val="24"/>
          <w:szCs w:val="24"/>
        </w:rPr>
        <w:t xml:space="preserve">  </w:t>
      </w:r>
      <w:r>
        <w:rPr>
          <w:rFonts w:ascii="Calibri" w:hAnsi="Calibri" w:cs="Arial"/>
        </w:rPr>
        <w:t>ENAV</w:t>
      </w:r>
      <w:r>
        <w:rPr>
          <w:rFonts w:ascii="Calibri" w:hAnsi="Calibri" w:cs="Arial"/>
          <w:b/>
          <w:sz w:val="24"/>
          <w:szCs w:val="24"/>
        </w:rPr>
        <w:tab/>
        <w:t>X</w:t>
      </w:r>
      <w:r>
        <w:rPr>
          <w:rFonts w:ascii="Calibri" w:hAnsi="Calibri" w:cs="Arial"/>
          <w:sz w:val="24"/>
          <w:szCs w:val="24"/>
        </w:rPr>
        <w:t xml:space="preserve">  </w:t>
      </w:r>
      <w:r>
        <w:rPr>
          <w:rFonts w:ascii="Calibri" w:hAnsi="Calibri" w:cs="Arial"/>
        </w:rPr>
        <w:t>VTS</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b/>
          <w:sz w:val="24"/>
          <w:szCs w:val="24"/>
        </w:rPr>
        <w:t>□</w:t>
      </w:r>
      <w:r>
        <w:rPr>
          <w:rFonts w:ascii="Calibri" w:hAnsi="Calibri" w:cs="Arial"/>
          <w:sz w:val="24"/>
          <w:szCs w:val="24"/>
        </w:rPr>
        <w:t xml:space="preserve">  Information</w:t>
      </w:r>
    </w:p>
    <w:p w14:paraId="1DA19A7B" w14:textId="77777777" w:rsidR="00CE27FB" w:rsidRDefault="00CE27FB">
      <w:pPr>
        <w:pStyle w:val="BodyText"/>
        <w:tabs>
          <w:tab w:val="left" w:pos="2835"/>
        </w:tabs>
        <w:rPr>
          <w:rFonts w:ascii="Calibri" w:hAnsi="Calibri"/>
        </w:rPr>
      </w:pPr>
    </w:p>
    <w:p w14:paraId="1DA19A7C" w14:textId="25586D1C" w:rsidR="00CE27FB" w:rsidRDefault="00D14737">
      <w:pPr>
        <w:pStyle w:val="BodyText"/>
        <w:tabs>
          <w:tab w:val="left" w:pos="2835"/>
        </w:tabs>
        <w:rPr>
          <w:rFonts w:ascii="Calibri" w:hAnsi="Calibri"/>
        </w:rPr>
      </w:pPr>
      <w:r>
        <w:rPr>
          <w:rFonts w:ascii="Calibri" w:hAnsi="Calibri"/>
        </w:rPr>
        <w:t xml:space="preserve">Agenda item </w:t>
      </w:r>
      <w:r>
        <w:rPr>
          <w:rStyle w:val="FootnoteReference"/>
          <w:rFonts w:ascii="Calibri" w:hAnsi="Calibri"/>
          <w:sz w:val="22"/>
          <w:vertAlign w:val="superscript"/>
        </w:rPr>
        <w:footnoteReference w:id="2"/>
      </w:r>
      <w:r>
        <w:rPr>
          <w:rFonts w:ascii="Calibri" w:hAnsi="Calibri"/>
        </w:rPr>
        <w:tab/>
      </w:r>
      <w:r>
        <w:rPr>
          <w:rFonts w:ascii="Calibri" w:hAnsi="Calibri"/>
        </w:rPr>
        <w:tab/>
      </w:r>
      <w:r>
        <w:rPr>
          <w:rFonts w:ascii="Calibri" w:hAnsi="Calibri"/>
        </w:rPr>
        <w:tab/>
      </w:r>
      <w:r w:rsidR="00FD1021">
        <w:rPr>
          <w:rFonts w:ascii="Calibri" w:hAnsi="Calibri"/>
        </w:rPr>
        <w:t>9.1</w:t>
      </w:r>
    </w:p>
    <w:p w14:paraId="1DA19A7D" w14:textId="77777777" w:rsidR="00CE27FB" w:rsidRDefault="00D14737">
      <w:pPr>
        <w:pStyle w:val="BodyText"/>
        <w:tabs>
          <w:tab w:val="left" w:pos="2835"/>
        </w:tabs>
        <w:rPr>
          <w:rFonts w:ascii="Calibri" w:hAnsi="Calibri"/>
        </w:rPr>
      </w:pPr>
      <w:r>
        <w:rPr>
          <w:rFonts w:ascii="Calibri" w:hAnsi="Calibri"/>
        </w:rPr>
        <w:t xml:space="preserve">Technical Domain / Task Number </w:t>
      </w:r>
      <w:r>
        <w:rPr>
          <w:rFonts w:ascii="Calibri" w:hAnsi="Calibri"/>
          <w:vertAlign w:val="superscript"/>
        </w:rPr>
        <w:t>2</w:t>
      </w:r>
      <w:r>
        <w:rPr>
          <w:rFonts w:ascii="Calibri" w:hAnsi="Calibri"/>
        </w:rPr>
        <w:tab/>
        <w:t>2.5.2</w:t>
      </w:r>
    </w:p>
    <w:p w14:paraId="1DA19A7E" w14:textId="77777777" w:rsidR="00CE27FB" w:rsidRDefault="00D14737">
      <w:pPr>
        <w:pStyle w:val="BodyText"/>
        <w:tabs>
          <w:tab w:val="left" w:pos="2835"/>
        </w:tabs>
        <w:rPr>
          <w:rFonts w:ascii="Calibri" w:hAnsi="Calibri"/>
          <w:color w:val="FF0000"/>
        </w:rPr>
      </w:pPr>
      <w:r>
        <w:rPr>
          <w:rFonts w:ascii="Calibri" w:hAnsi="Calibri"/>
        </w:rPr>
        <w:t>Author(s) / Submitter(s)</w:t>
      </w:r>
      <w:r>
        <w:rPr>
          <w:rFonts w:ascii="Calibri" w:hAnsi="Calibri"/>
        </w:rPr>
        <w:tab/>
      </w:r>
      <w:r>
        <w:rPr>
          <w:rFonts w:ascii="Calibri" w:hAnsi="Calibri"/>
        </w:rPr>
        <w:tab/>
      </w:r>
      <w:r>
        <w:rPr>
          <w:rFonts w:ascii="Calibri" w:hAnsi="Calibri"/>
        </w:rPr>
        <w:tab/>
        <w:t>China Maritime Safety Administration</w:t>
      </w:r>
    </w:p>
    <w:p w14:paraId="1DA19A7F" w14:textId="77777777" w:rsidR="00CE27FB" w:rsidRDefault="00CE27FB">
      <w:pPr>
        <w:pStyle w:val="BodyText"/>
        <w:tabs>
          <w:tab w:val="left" w:pos="2835"/>
        </w:tabs>
        <w:rPr>
          <w:rFonts w:ascii="Calibri" w:hAnsi="Calibri"/>
        </w:rPr>
      </w:pPr>
    </w:p>
    <w:p w14:paraId="1DA19A80" w14:textId="77777777" w:rsidR="00CE27FB" w:rsidRDefault="00D14737">
      <w:pPr>
        <w:pStyle w:val="Title"/>
        <w:rPr>
          <w:rFonts w:ascii="Arial Bold" w:eastAsia="Times New Roman" w:hAnsi="Arial Bold"/>
          <w:caps/>
          <w:color w:val="00558C"/>
          <w:sz w:val="28"/>
          <w:lang w:eastAsia="en-US"/>
        </w:rPr>
      </w:pPr>
      <w:r>
        <w:rPr>
          <w:rFonts w:ascii="Arial Bold" w:eastAsia="Times New Roman" w:hAnsi="Arial Bold" w:hint="eastAsia"/>
          <w:caps/>
          <w:color w:val="00558C"/>
          <w:sz w:val="28"/>
          <w:lang w:eastAsia="en-US"/>
        </w:rPr>
        <w:t>Proposals on the</w:t>
      </w:r>
      <w:r>
        <w:rPr>
          <w:rFonts w:ascii="Arial Bold" w:eastAsia="Times New Roman" w:hAnsi="Arial Bold"/>
          <w:caps/>
          <w:color w:val="00558C"/>
          <w:sz w:val="28"/>
          <w:lang w:eastAsia="en-US"/>
        </w:rPr>
        <w:t xml:space="preserve"> </w:t>
      </w:r>
      <w:bookmarkStart w:id="0" w:name="_Hlk186816704"/>
      <w:r>
        <w:rPr>
          <w:rFonts w:ascii="Arial Bold" w:eastAsia="Times New Roman" w:hAnsi="Arial Bold"/>
          <w:caps/>
          <w:color w:val="00558C"/>
          <w:sz w:val="28"/>
          <w:lang w:eastAsia="en-US"/>
        </w:rPr>
        <w:t>“</w:t>
      </w:r>
      <w:bookmarkEnd w:id="0"/>
      <w:r>
        <w:rPr>
          <w:rFonts w:ascii="Arial Bold" w:eastAsia="Times New Roman" w:hAnsi="Arial Bold"/>
          <w:caps/>
          <w:color w:val="00558C"/>
          <w:sz w:val="28"/>
          <w:lang w:eastAsia="en-US"/>
        </w:rPr>
        <w:t xml:space="preserve">Service Specification for                         VTS - Vessel Route Exchange Edition </w:t>
      </w:r>
      <w:bookmarkStart w:id="1" w:name="_Hlk186816710"/>
      <w:r>
        <w:rPr>
          <w:rFonts w:ascii="Arial Bold" w:hAnsi="Arial Bold" w:hint="eastAsia"/>
          <w:caps/>
          <w:color w:val="00558C"/>
          <w:sz w:val="28"/>
          <w:lang w:val="en-US" w:eastAsia="zh-CN"/>
        </w:rPr>
        <w:t>1.1</w:t>
      </w:r>
      <w:r>
        <w:rPr>
          <w:rFonts w:ascii="Arial Bold" w:eastAsia="Times New Roman" w:hAnsi="Arial Bold"/>
          <w:caps/>
          <w:color w:val="00558C"/>
          <w:sz w:val="28"/>
          <w:lang w:eastAsia="en-US"/>
        </w:rPr>
        <w:t>”</w:t>
      </w:r>
      <w:bookmarkEnd w:id="1"/>
      <w:r>
        <w:rPr>
          <w:rFonts w:ascii="Arial Bold" w:eastAsia="Times New Roman" w:hAnsi="Arial Bold" w:hint="eastAsia"/>
          <w:caps/>
          <w:color w:val="00558C"/>
          <w:sz w:val="28"/>
          <w:lang w:eastAsia="en-US"/>
        </w:rPr>
        <w:t xml:space="preserve"> </w:t>
      </w:r>
    </w:p>
    <w:p w14:paraId="1DA19A81" w14:textId="77777777" w:rsidR="00CE27FB" w:rsidRDefault="00D14737">
      <w:pPr>
        <w:pStyle w:val="Heading1"/>
      </w:pPr>
      <w:r>
        <w:t>Summary</w:t>
      </w:r>
    </w:p>
    <w:p w14:paraId="1DA19A82" w14:textId="77777777" w:rsidR="00CE27FB" w:rsidRDefault="00D14737">
      <w:pPr>
        <w:pStyle w:val="BodyText"/>
        <w:rPr>
          <w:rFonts w:ascii="Calibri" w:hAnsi="Calibri"/>
          <w:lang w:eastAsia="zh-CN"/>
        </w:rPr>
      </w:pPr>
      <w:r>
        <w:rPr>
          <w:rFonts w:ascii="Calibri" w:hAnsi="Calibri"/>
        </w:rPr>
        <w:t>This</w:t>
      </w:r>
      <w:r>
        <w:rPr>
          <w:rFonts w:ascii="Calibri" w:hAnsi="Calibri" w:hint="eastAsia"/>
        </w:rPr>
        <w:t xml:space="preserve"> proposal </w:t>
      </w:r>
      <w:r>
        <w:rPr>
          <w:rFonts w:ascii="Calibri" w:hAnsi="Calibri"/>
        </w:rPr>
        <w:t xml:space="preserve">proposes revisions to </w:t>
      </w:r>
      <w:r>
        <w:rPr>
          <w:rFonts w:ascii="Calibri" w:hAnsi="Calibri"/>
          <w:i/>
          <w:iCs/>
        </w:rPr>
        <w:t xml:space="preserve">Service Specification for VTS - Vessel Route Exchange Edition </w:t>
      </w:r>
      <w:r>
        <w:rPr>
          <w:rFonts w:ascii="Calibri" w:hAnsi="Calibri" w:hint="eastAsia"/>
          <w:i/>
          <w:iCs/>
          <w:lang w:val="en-US" w:eastAsia="zh-CN"/>
        </w:rPr>
        <w:t>1.1</w:t>
      </w:r>
      <w:r>
        <w:rPr>
          <w:rFonts w:ascii="Calibri" w:hAnsi="Calibri"/>
          <w:i/>
          <w:iCs/>
        </w:rPr>
        <w:t xml:space="preserve"> </w:t>
      </w:r>
      <w:r>
        <w:rPr>
          <w:rFonts w:ascii="Calibri" w:hAnsi="Calibri"/>
        </w:rPr>
        <w:t xml:space="preserve">from the aspects of </w:t>
      </w:r>
      <w:r>
        <w:rPr>
          <w:rFonts w:ascii="Calibri" w:hAnsi="Calibri" w:hint="eastAsia"/>
          <w:lang w:val="en-US" w:eastAsia="zh-CN"/>
        </w:rPr>
        <w:t>o</w:t>
      </w:r>
      <w:r>
        <w:rPr>
          <w:rFonts w:ascii="Calibri" w:hAnsi="Calibri" w:hint="eastAsia"/>
        </w:rPr>
        <w:t>perational context</w:t>
      </w:r>
      <w:r>
        <w:rPr>
          <w:rFonts w:ascii="Calibri" w:hAnsi="Calibri" w:hint="eastAsia"/>
          <w:lang w:val="en-US" w:eastAsia="zh-CN"/>
        </w:rPr>
        <w:t>,</w:t>
      </w:r>
      <w:r>
        <w:rPr>
          <w:rFonts w:ascii="Calibri" w:hAnsi="Calibri"/>
        </w:rPr>
        <w:t xml:space="preserve"> use cases,</w:t>
      </w:r>
      <w:r>
        <w:rPr>
          <w:rFonts w:ascii="Calibri" w:hAnsi="Calibri" w:hint="eastAsia"/>
          <w:lang w:val="en-US" w:eastAsia="zh-CN"/>
        </w:rPr>
        <w:t xml:space="preserve"> </w:t>
      </w:r>
      <w:r>
        <w:rPr>
          <w:rFonts w:ascii="Calibri" w:hAnsi="Calibri" w:hint="eastAsia"/>
        </w:rPr>
        <w:t>functional and non-functional requirements</w:t>
      </w:r>
      <w:r>
        <w:rPr>
          <w:rFonts w:ascii="Calibri" w:hAnsi="Calibri" w:hint="eastAsia"/>
          <w:lang w:val="en-US" w:eastAsia="zh-CN"/>
        </w:rPr>
        <w:t xml:space="preserve">, </w:t>
      </w:r>
      <w:r>
        <w:rPr>
          <w:rFonts w:ascii="Calibri" w:hAnsi="Calibri"/>
        </w:rPr>
        <w:t xml:space="preserve">and </w:t>
      </w:r>
      <w:r>
        <w:rPr>
          <w:rFonts w:ascii="Calibri" w:hAnsi="Calibri" w:hint="eastAsia"/>
          <w:lang w:val="en-US" w:eastAsia="zh-CN"/>
        </w:rPr>
        <w:t>key terms</w:t>
      </w:r>
      <w:r>
        <w:rPr>
          <w:rFonts w:ascii="Calibri" w:hAnsi="Calibri"/>
        </w:rPr>
        <w:t>.</w:t>
      </w:r>
    </w:p>
    <w:p w14:paraId="1DA19A83" w14:textId="77777777" w:rsidR="00CE27FB" w:rsidRDefault="00D14737">
      <w:pPr>
        <w:pStyle w:val="Heading2"/>
      </w:pPr>
      <w:r>
        <w:t>Purpose of the document</w:t>
      </w:r>
    </w:p>
    <w:p w14:paraId="1DA19A84" w14:textId="77777777" w:rsidR="00CE27FB" w:rsidRDefault="00D14737">
      <w:pPr>
        <w:pStyle w:val="BodyText"/>
        <w:rPr>
          <w:rFonts w:ascii="Calibri" w:hAnsi="Calibri"/>
          <w:lang w:eastAsia="zh-CN"/>
        </w:rPr>
      </w:pPr>
      <w:r>
        <w:rPr>
          <w:rFonts w:ascii="Calibri" w:hAnsi="Calibri"/>
        </w:rPr>
        <w:t xml:space="preserve">The purpose of this document is to provide input document for the VTS committee to update the </w:t>
      </w:r>
      <w:r>
        <w:rPr>
          <w:rFonts w:ascii="Calibri" w:hAnsi="Calibri"/>
          <w:i/>
          <w:iCs/>
        </w:rPr>
        <w:t xml:space="preserve">Service Specification for VTS - Vessel Route Exchange Edition </w:t>
      </w:r>
      <w:r>
        <w:rPr>
          <w:rFonts w:ascii="Calibri" w:hAnsi="Calibri" w:hint="eastAsia"/>
          <w:i/>
          <w:iCs/>
          <w:lang w:val="en-US" w:eastAsia="zh-CN"/>
        </w:rPr>
        <w:t>1.1</w:t>
      </w:r>
      <w:r>
        <w:rPr>
          <w:rFonts w:ascii="Calibri" w:hAnsi="Calibri"/>
        </w:rPr>
        <w:t>.</w:t>
      </w:r>
      <w:r>
        <w:rPr>
          <w:rFonts w:hint="eastAsia"/>
        </w:rPr>
        <w:t xml:space="preserve"> </w:t>
      </w:r>
    </w:p>
    <w:p w14:paraId="1DA19A85" w14:textId="77777777" w:rsidR="00CE27FB" w:rsidRDefault="00D14737">
      <w:pPr>
        <w:pStyle w:val="Heading2"/>
      </w:pPr>
      <w:r>
        <w:t>Related documents</w:t>
      </w:r>
    </w:p>
    <w:p w14:paraId="1DA19A86" w14:textId="77777777" w:rsidR="00CE27FB" w:rsidRDefault="00D14737">
      <w:pPr>
        <w:pStyle w:val="BodyText"/>
        <w:rPr>
          <w:rFonts w:ascii="Calibri" w:hAnsi="Calibri"/>
          <w:lang w:val="en-US"/>
        </w:rPr>
      </w:pPr>
      <w:r>
        <w:rPr>
          <w:rFonts w:ascii="Calibri" w:hAnsi="Calibri"/>
        </w:rPr>
        <w:t>[1]</w:t>
      </w:r>
      <w:r>
        <w:rPr>
          <w:rFonts w:ascii="Calibri" w:hAnsi="Calibri"/>
        </w:rPr>
        <w:tab/>
      </w:r>
      <w:r>
        <w:rPr>
          <w:rFonts w:ascii="Calibri" w:hAnsi="Calibri" w:hint="eastAsia"/>
          <w:lang w:val="en-US" w:eastAsia="zh-CN"/>
        </w:rPr>
        <w:t>VTS57-6.1.1 Committees Work programme 2025-2027</w:t>
      </w:r>
    </w:p>
    <w:p w14:paraId="1DA19A87" w14:textId="77777777" w:rsidR="00CE27FB" w:rsidRDefault="00D14737">
      <w:pPr>
        <w:pStyle w:val="BodyText"/>
        <w:rPr>
          <w:rFonts w:ascii="Calibri" w:hAnsi="Calibri"/>
          <w:lang w:val="en-US"/>
        </w:rPr>
      </w:pPr>
      <w:r>
        <w:rPr>
          <w:rFonts w:ascii="Calibri" w:hAnsi="Calibri"/>
        </w:rPr>
        <w:t>[</w:t>
      </w:r>
      <w:r>
        <w:rPr>
          <w:rFonts w:ascii="Calibri" w:hAnsi="Calibri" w:hint="eastAsia"/>
          <w:lang w:val="en-US" w:eastAsia="zh-CN"/>
        </w:rPr>
        <w:t>2</w:t>
      </w:r>
      <w:r>
        <w:rPr>
          <w:rFonts w:ascii="Calibri" w:hAnsi="Calibri"/>
        </w:rPr>
        <w:t>]</w:t>
      </w:r>
      <w:r>
        <w:rPr>
          <w:rFonts w:ascii="Calibri" w:hAnsi="Calibri"/>
          <w:b/>
          <w:bCs/>
          <w:lang w:val="en-US"/>
        </w:rPr>
        <w:t xml:space="preserve"> </w:t>
      </w:r>
      <w:r>
        <w:rPr>
          <w:rFonts w:ascii="Calibri" w:hAnsi="Calibri"/>
          <w:b/>
          <w:bCs/>
          <w:lang w:val="en-US"/>
        </w:rPr>
        <w:tab/>
      </w:r>
      <w:r>
        <w:rPr>
          <w:rFonts w:ascii="Calibri" w:hAnsi="Calibri"/>
        </w:rPr>
        <w:t xml:space="preserve"> VTS53-6.3.2 Development of </w:t>
      </w:r>
      <w:r>
        <w:rPr>
          <w:rFonts w:ascii="Calibri" w:hAnsi="Calibri" w:hint="eastAsia"/>
          <w:lang w:val="en-US" w:eastAsia="zh-CN"/>
        </w:rPr>
        <w:t>T</w:t>
      </w:r>
      <w:r>
        <w:rPr>
          <w:rFonts w:ascii="Calibri" w:hAnsi="Calibri"/>
        </w:rPr>
        <w:t xml:space="preserve">echnical </w:t>
      </w:r>
      <w:r>
        <w:rPr>
          <w:rFonts w:ascii="Calibri" w:hAnsi="Calibri" w:hint="eastAsia"/>
          <w:lang w:val="en-US" w:eastAsia="zh-CN"/>
        </w:rPr>
        <w:t>S</w:t>
      </w:r>
      <w:r>
        <w:rPr>
          <w:rFonts w:ascii="Calibri" w:hAnsi="Calibri"/>
        </w:rPr>
        <w:t xml:space="preserve">ervice </w:t>
      </w:r>
      <w:r>
        <w:rPr>
          <w:rFonts w:ascii="Calibri" w:hAnsi="Calibri" w:hint="eastAsia"/>
          <w:lang w:val="en-US" w:eastAsia="zh-CN"/>
        </w:rPr>
        <w:t>S</w:t>
      </w:r>
      <w:r>
        <w:rPr>
          <w:rFonts w:ascii="Calibri" w:hAnsi="Calibri"/>
        </w:rPr>
        <w:t xml:space="preserve">pecifications for </w:t>
      </w:r>
      <w:r>
        <w:rPr>
          <w:rFonts w:ascii="Calibri" w:hAnsi="Calibri" w:hint="eastAsia"/>
          <w:lang w:val="en-US" w:eastAsia="zh-CN"/>
        </w:rPr>
        <w:t>D</w:t>
      </w:r>
      <w:r>
        <w:rPr>
          <w:rFonts w:ascii="Calibri" w:hAnsi="Calibri"/>
        </w:rPr>
        <w:t xml:space="preserve">igital </w:t>
      </w:r>
      <w:r>
        <w:rPr>
          <w:rFonts w:ascii="Calibri" w:hAnsi="Calibri" w:hint="eastAsia"/>
          <w:lang w:val="en-US" w:eastAsia="zh-CN"/>
        </w:rPr>
        <w:t>D</w:t>
      </w:r>
      <w:r>
        <w:rPr>
          <w:rFonts w:ascii="Calibri" w:hAnsi="Calibri"/>
        </w:rPr>
        <w:t xml:space="preserve">ata </w:t>
      </w:r>
      <w:r>
        <w:rPr>
          <w:rFonts w:ascii="Calibri" w:hAnsi="Calibri" w:hint="eastAsia"/>
          <w:lang w:val="en-US" w:eastAsia="zh-CN"/>
        </w:rPr>
        <w:t>E</w:t>
      </w:r>
      <w:r>
        <w:rPr>
          <w:rFonts w:ascii="Calibri" w:hAnsi="Calibri"/>
        </w:rPr>
        <w:t xml:space="preserve">xchange between VTS and </w:t>
      </w:r>
      <w:r>
        <w:rPr>
          <w:rFonts w:ascii="Calibri" w:hAnsi="Calibri" w:hint="eastAsia"/>
          <w:lang w:val="en-US" w:eastAsia="zh-CN"/>
        </w:rPr>
        <w:t>O</w:t>
      </w:r>
      <w:r>
        <w:rPr>
          <w:rFonts w:ascii="Calibri" w:hAnsi="Calibri"/>
        </w:rPr>
        <w:t xml:space="preserve">ther </w:t>
      </w:r>
      <w:r>
        <w:rPr>
          <w:rFonts w:ascii="Calibri" w:hAnsi="Calibri" w:hint="eastAsia"/>
          <w:lang w:val="en-US" w:eastAsia="zh-CN"/>
        </w:rPr>
        <w:t>E</w:t>
      </w:r>
      <w:r>
        <w:rPr>
          <w:rFonts w:ascii="Calibri" w:hAnsi="Calibri"/>
        </w:rPr>
        <w:t xml:space="preserve">ntities - </w:t>
      </w:r>
      <w:r>
        <w:rPr>
          <w:rFonts w:ascii="Calibri" w:hAnsi="Calibri" w:hint="eastAsia"/>
          <w:lang w:val="en-US" w:eastAsia="zh-CN"/>
        </w:rPr>
        <w:t>P</w:t>
      </w:r>
      <w:r>
        <w:rPr>
          <w:rFonts w:ascii="Calibri" w:hAnsi="Calibri"/>
        </w:rPr>
        <w:t xml:space="preserve">rimarily </w:t>
      </w:r>
      <w:r>
        <w:rPr>
          <w:rFonts w:ascii="Calibri" w:hAnsi="Calibri" w:hint="eastAsia"/>
          <w:lang w:val="en-US" w:eastAsia="zh-CN"/>
        </w:rPr>
        <w:t>S</w:t>
      </w:r>
      <w:r>
        <w:rPr>
          <w:rFonts w:ascii="Calibri" w:hAnsi="Calibri"/>
        </w:rPr>
        <w:t>hips</w:t>
      </w:r>
      <w:r>
        <w:rPr>
          <w:rFonts w:ascii="Calibri" w:hAnsi="Calibri"/>
          <w:lang w:val="en-US"/>
        </w:rPr>
        <w:t xml:space="preserve"> </w:t>
      </w:r>
    </w:p>
    <w:p w14:paraId="1DA19A88" w14:textId="77777777" w:rsidR="00CE27FB" w:rsidRDefault="00D14737">
      <w:pPr>
        <w:pStyle w:val="BodyText"/>
        <w:rPr>
          <w:rFonts w:ascii="Calibri" w:hAnsi="Calibri"/>
          <w:lang w:val="en-US"/>
        </w:rPr>
      </w:pPr>
      <w:r>
        <w:rPr>
          <w:rFonts w:ascii="Calibri" w:hAnsi="Calibri"/>
        </w:rPr>
        <w:t>[</w:t>
      </w:r>
      <w:r>
        <w:rPr>
          <w:rFonts w:ascii="Calibri" w:hAnsi="Calibri" w:hint="eastAsia"/>
          <w:lang w:val="en-US" w:eastAsia="zh-CN"/>
        </w:rPr>
        <w:t>3</w:t>
      </w:r>
      <w:r>
        <w:rPr>
          <w:rFonts w:ascii="Calibri" w:hAnsi="Calibri"/>
        </w:rPr>
        <w:t>]</w:t>
      </w:r>
      <w:r>
        <w:rPr>
          <w:rFonts w:ascii="Calibri" w:hAnsi="Calibri"/>
          <w:b/>
          <w:bCs/>
          <w:lang w:val="en-US"/>
        </w:rPr>
        <w:t xml:space="preserve"> </w:t>
      </w:r>
      <w:r>
        <w:rPr>
          <w:rFonts w:ascii="Calibri" w:hAnsi="Calibri"/>
          <w:b/>
          <w:bCs/>
          <w:lang w:val="en-US"/>
        </w:rPr>
        <w:tab/>
        <w:t xml:space="preserve"> </w:t>
      </w:r>
      <w:r>
        <w:rPr>
          <w:rFonts w:ascii="Calibri" w:hAnsi="Calibri"/>
          <w:lang w:val="en-US"/>
        </w:rPr>
        <w:t>VTS54-9.1.3 Proposals on the New Task of "Developing Technical Service Specifications for Digital</w:t>
      </w:r>
      <w:r>
        <w:rPr>
          <w:rFonts w:ascii="Calibri" w:hAnsi="Calibri" w:hint="eastAsia"/>
          <w:lang w:val="en-US" w:eastAsia="zh-CN"/>
        </w:rPr>
        <w:t xml:space="preserve"> </w:t>
      </w:r>
      <w:r>
        <w:rPr>
          <w:rFonts w:ascii="Calibri" w:hAnsi="Calibri"/>
          <w:lang w:val="en-US"/>
        </w:rPr>
        <w:t>Data Exchange between VTS and Other Entities - Primarily Ships"</w:t>
      </w:r>
    </w:p>
    <w:p w14:paraId="1DA19A89" w14:textId="77777777" w:rsidR="00CE27FB" w:rsidRDefault="00D14737">
      <w:pPr>
        <w:pStyle w:val="BodyText"/>
        <w:rPr>
          <w:rFonts w:ascii="Calibri" w:hAnsi="Calibri"/>
          <w:lang w:val="en-US"/>
        </w:rPr>
      </w:pPr>
      <w:bookmarkStart w:id="2" w:name="_Hlk170029563"/>
      <w:r>
        <w:rPr>
          <w:rFonts w:ascii="Calibri" w:hAnsi="Calibri"/>
        </w:rPr>
        <w:t>[</w:t>
      </w:r>
      <w:r>
        <w:rPr>
          <w:rFonts w:ascii="Calibri" w:hAnsi="Calibri" w:hint="eastAsia"/>
          <w:lang w:val="en-US" w:eastAsia="zh-CN"/>
        </w:rPr>
        <w:t>4</w:t>
      </w:r>
      <w:r>
        <w:rPr>
          <w:rFonts w:ascii="Calibri" w:hAnsi="Calibri"/>
        </w:rPr>
        <w:t>]</w:t>
      </w:r>
      <w:r>
        <w:rPr>
          <w:rFonts w:ascii="Calibri" w:hAnsi="Calibri"/>
          <w:b/>
          <w:bCs/>
          <w:lang w:val="en-US"/>
        </w:rPr>
        <w:t xml:space="preserve"> </w:t>
      </w:r>
      <w:r>
        <w:rPr>
          <w:rFonts w:ascii="Calibri" w:hAnsi="Calibri"/>
          <w:b/>
          <w:bCs/>
          <w:lang w:val="en-US"/>
        </w:rPr>
        <w:tab/>
        <w:t xml:space="preserve"> </w:t>
      </w:r>
      <w:r>
        <w:rPr>
          <w:rFonts w:ascii="Calibri" w:hAnsi="Calibri"/>
          <w:lang w:val="en-US"/>
        </w:rPr>
        <w:t>VTS55-9.1.1</w:t>
      </w:r>
      <w:r>
        <w:rPr>
          <w:rFonts w:ascii="Calibri" w:hAnsi="Calibri"/>
          <w:b/>
          <w:bCs/>
          <w:lang w:val="en-US"/>
        </w:rPr>
        <w:t xml:space="preserve"> </w:t>
      </w:r>
      <w:r>
        <w:rPr>
          <w:rFonts w:ascii="Calibri" w:hAnsi="Calibri"/>
          <w:lang w:val="en-US"/>
        </w:rPr>
        <w:t>Proposals on the “Service Specification for VTS Traffic Clearance Service</w:t>
      </w:r>
      <w:r>
        <w:rPr>
          <w:rFonts w:ascii="Calibri" w:hAnsi="Calibri" w:hint="eastAsia"/>
          <w:lang w:val="en-US" w:eastAsia="zh-CN"/>
        </w:rPr>
        <w:t xml:space="preserve"> Edition </w:t>
      </w:r>
      <w:r>
        <w:rPr>
          <w:rFonts w:ascii="Calibri" w:hAnsi="Calibri"/>
          <w:lang w:val="en-US"/>
        </w:rPr>
        <w:t>1.0”</w:t>
      </w:r>
      <w:bookmarkEnd w:id="2"/>
    </w:p>
    <w:p w14:paraId="1DA19A8A" w14:textId="77777777" w:rsidR="00CE27FB" w:rsidRDefault="00D14737">
      <w:pPr>
        <w:pStyle w:val="BodyText"/>
        <w:rPr>
          <w:rFonts w:ascii="Calibri" w:hAnsi="Calibri"/>
          <w:lang w:val="en-US" w:eastAsia="zh-CN"/>
        </w:rPr>
      </w:pPr>
      <w:r>
        <w:rPr>
          <w:rFonts w:ascii="Calibri" w:hAnsi="Calibri"/>
        </w:rPr>
        <w:t>[</w:t>
      </w:r>
      <w:r>
        <w:rPr>
          <w:rFonts w:ascii="Calibri" w:hAnsi="Calibri" w:hint="eastAsia"/>
          <w:lang w:val="en-US" w:eastAsia="zh-CN"/>
        </w:rPr>
        <w:t>5</w:t>
      </w:r>
      <w:r>
        <w:rPr>
          <w:rFonts w:ascii="Calibri" w:hAnsi="Calibri"/>
        </w:rPr>
        <w:t>]</w:t>
      </w:r>
      <w:r>
        <w:rPr>
          <w:rFonts w:ascii="Calibri" w:hAnsi="Calibri"/>
          <w:b/>
          <w:bCs/>
          <w:lang w:val="en-US"/>
        </w:rPr>
        <w:t xml:space="preserve"> </w:t>
      </w:r>
      <w:r>
        <w:rPr>
          <w:rFonts w:ascii="Calibri" w:hAnsi="Calibri"/>
          <w:b/>
          <w:bCs/>
          <w:lang w:val="en-US"/>
        </w:rPr>
        <w:tab/>
      </w:r>
      <w:r>
        <w:rPr>
          <w:rFonts w:ascii="Calibri" w:hAnsi="Calibri"/>
          <w:lang w:val="en-US"/>
        </w:rPr>
        <w:t xml:space="preserve"> </w:t>
      </w:r>
      <w:r>
        <w:rPr>
          <w:rFonts w:ascii="Calibri" w:hAnsi="Calibri"/>
          <w:lang w:val="en-US" w:eastAsia="zh-CN"/>
        </w:rPr>
        <w:t>VTS56-9.1.1 Proposal on the "Service Specification for VTS Traffic Clearance Service Edition 1.3” and "Service design"</w:t>
      </w:r>
    </w:p>
    <w:p w14:paraId="1DA19A8B" w14:textId="77777777" w:rsidR="00CE27FB" w:rsidRDefault="00D14737">
      <w:pPr>
        <w:pStyle w:val="BodyText"/>
        <w:rPr>
          <w:rFonts w:ascii="Calibri" w:hAnsi="Calibri"/>
          <w:lang w:val="en-US" w:eastAsia="zh-CN"/>
        </w:rPr>
      </w:pPr>
      <w:r>
        <w:rPr>
          <w:rFonts w:ascii="Calibri" w:hAnsi="Calibri"/>
        </w:rPr>
        <w:t>[</w:t>
      </w:r>
      <w:r>
        <w:rPr>
          <w:rFonts w:ascii="Calibri" w:hAnsi="Calibri" w:hint="eastAsia"/>
          <w:lang w:val="en-US" w:eastAsia="zh-CN"/>
        </w:rPr>
        <w:t>6</w:t>
      </w:r>
      <w:r>
        <w:rPr>
          <w:rFonts w:ascii="Calibri" w:hAnsi="Calibri"/>
        </w:rPr>
        <w:t>]</w:t>
      </w:r>
      <w:r>
        <w:rPr>
          <w:rFonts w:ascii="Calibri" w:hAnsi="Calibri"/>
          <w:b/>
          <w:bCs/>
          <w:lang w:val="en-US"/>
        </w:rPr>
        <w:t xml:space="preserve"> </w:t>
      </w:r>
      <w:r>
        <w:rPr>
          <w:rFonts w:ascii="Calibri" w:hAnsi="Calibri"/>
          <w:b/>
          <w:bCs/>
          <w:lang w:val="en-US"/>
        </w:rPr>
        <w:tab/>
      </w:r>
      <w:r>
        <w:rPr>
          <w:rFonts w:ascii="Calibri" w:hAnsi="Calibri" w:hint="eastAsia"/>
          <w:lang w:val="en-US" w:eastAsia="zh-CN"/>
        </w:rPr>
        <w:t xml:space="preserve">VTS57-9.1.2  Proposals on the </w:t>
      </w:r>
      <w:r>
        <w:rPr>
          <w:rFonts w:ascii="Calibri" w:hAnsi="Calibri"/>
          <w:lang w:val="en-US" w:eastAsia="zh-CN"/>
        </w:rPr>
        <w:t>"</w:t>
      </w:r>
      <w:r>
        <w:rPr>
          <w:rFonts w:ascii="Calibri" w:hAnsi="Calibri" w:hint="eastAsia"/>
          <w:lang w:val="en-US" w:eastAsia="zh-CN"/>
        </w:rPr>
        <w:t>Service Specification for VTS Traffic Clearance Edition 1.4</w:t>
      </w:r>
      <w:r>
        <w:rPr>
          <w:rFonts w:ascii="Calibri" w:hAnsi="Calibri"/>
          <w:lang w:val="en-US" w:eastAsia="zh-CN"/>
        </w:rPr>
        <w:t>"</w:t>
      </w:r>
    </w:p>
    <w:p w14:paraId="1DA19A8C" w14:textId="77777777" w:rsidR="00CE27FB" w:rsidRDefault="00D14737">
      <w:pPr>
        <w:pStyle w:val="BodyText"/>
        <w:rPr>
          <w:rFonts w:ascii="Calibri" w:hAnsi="Calibri"/>
          <w:lang w:val="en-US" w:eastAsia="zh-CN"/>
        </w:rPr>
      </w:pPr>
      <w:r>
        <w:rPr>
          <w:rFonts w:ascii="Calibri" w:hAnsi="Calibri"/>
        </w:rPr>
        <w:t>[</w:t>
      </w:r>
      <w:r>
        <w:rPr>
          <w:rFonts w:ascii="Calibri" w:hAnsi="Calibri" w:hint="eastAsia"/>
          <w:lang w:val="en-US" w:eastAsia="zh-CN"/>
        </w:rPr>
        <w:t>7</w:t>
      </w:r>
      <w:r>
        <w:rPr>
          <w:rFonts w:ascii="Calibri" w:hAnsi="Calibri"/>
        </w:rPr>
        <w:t>]</w:t>
      </w:r>
      <w:r>
        <w:rPr>
          <w:rFonts w:ascii="Calibri" w:hAnsi="Calibri"/>
          <w:b/>
          <w:bCs/>
          <w:lang w:val="en-US"/>
        </w:rPr>
        <w:t xml:space="preserve"> </w:t>
      </w:r>
      <w:r>
        <w:rPr>
          <w:rFonts w:ascii="Calibri" w:hAnsi="Calibri"/>
          <w:b/>
          <w:bCs/>
          <w:lang w:val="en-US"/>
        </w:rPr>
        <w:tab/>
      </w:r>
      <w:r>
        <w:rPr>
          <w:rFonts w:ascii="Calibri" w:hAnsi="Calibri" w:hint="eastAsia"/>
          <w:lang w:val="en-US" w:eastAsia="zh-CN"/>
        </w:rPr>
        <w:t xml:space="preserve">VTS57-9.1.1  Proposals on the </w:t>
      </w:r>
      <w:r>
        <w:rPr>
          <w:rFonts w:ascii="Calibri" w:hAnsi="Calibri"/>
          <w:lang w:val="en-US" w:eastAsia="zh-CN"/>
        </w:rPr>
        <w:t>"</w:t>
      </w:r>
      <w:r>
        <w:rPr>
          <w:rFonts w:ascii="Calibri" w:hAnsi="Calibri" w:hint="eastAsia"/>
          <w:lang w:val="en-US" w:eastAsia="zh-CN"/>
        </w:rPr>
        <w:t>Service Specification for VTS-Vessel Route Exchange Edition 0.3</w:t>
      </w:r>
      <w:r>
        <w:rPr>
          <w:rFonts w:ascii="Calibri" w:hAnsi="Calibri"/>
          <w:lang w:val="en-US" w:eastAsia="zh-CN"/>
        </w:rPr>
        <w:t>"</w:t>
      </w:r>
    </w:p>
    <w:p w14:paraId="1DA19A8D" w14:textId="77777777" w:rsidR="00CE27FB" w:rsidRDefault="00D14737">
      <w:pPr>
        <w:pStyle w:val="BodyText"/>
        <w:rPr>
          <w:rFonts w:ascii="Calibri" w:hAnsi="Calibri"/>
          <w:lang w:val="en-US" w:eastAsia="zh-CN"/>
        </w:rPr>
      </w:pPr>
      <w:r>
        <w:rPr>
          <w:rFonts w:ascii="Calibri" w:hAnsi="Calibri"/>
        </w:rPr>
        <w:t>[</w:t>
      </w:r>
      <w:r>
        <w:rPr>
          <w:rFonts w:ascii="Calibri" w:hAnsi="Calibri" w:hint="eastAsia"/>
          <w:lang w:val="en-US" w:eastAsia="zh-CN"/>
        </w:rPr>
        <w:t>8</w:t>
      </w:r>
      <w:r>
        <w:rPr>
          <w:rFonts w:ascii="Calibri" w:hAnsi="Calibri"/>
        </w:rPr>
        <w:t>]</w:t>
      </w:r>
      <w:r>
        <w:rPr>
          <w:rFonts w:ascii="Calibri" w:hAnsi="Calibri"/>
          <w:b/>
          <w:bCs/>
          <w:lang w:val="en-US"/>
        </w:rPr>
        <w:t xml:space="preserve"> </w:t>
      </w:r>
      <w:r>
        <w:rPr>
          <w:rFonts w:ascii="Calibri" w:hAnsi="Calibri"/>
          <w:b/>
          <w:bCs/>
          <w:lang w:val="en-US"/>
        </w:rPr>
        <w:tab/>
      </w:r>
      <w:r>
        <w:rPr>
          <w:rFonts w:ascii="Calibri" w:hAnsi="Calibri" w:hint="eastAsia"/>
          <w:lang w:val="en-US" w:eastAsia="zh-CN"/>
        </w:rPr>
        <w:t xml:space="preserve">VTS58-9.1.1  Proposals on the </w:t>
      </w:r>
      <w:r>
        <w:rPr>
          <w:rFonts w:ascii="Calibri" w:hAnsi="Calibri"/>
          <w:lang w:val="en-US" w:eastAsia="zh-CN"/>
        </w:rPr>
        <w:t>"</w:t>
      </w:r>
      <w:r>
        <w:rPr>
          <w:rFonts w:ascii="Calibri" w:hAnsi="Calibri" w:hint="eastAsia"/>
          <w:lang w:val="en-US" w:eastAsia="zh-CN"/>
        </w:rPr>
        <w:t>Service Specification for VTS-Vessel Route Exchange Edition 1.0</w:t>
      </w:r>
      <w:r>
        <w:rPr>
          <w:rFonts w:ascii="Calibri" w:hAnsi="Calibri"/>
          <w:lang w:val="en-US" w:eastAsia="zh-CN"/>
        </w:rPr>
        <w:t>"</w:t>
      </w:r>
    </w:p>
    <w:p w14:paraId="1DA19A8E" w14:textId="77777777" w:rsidR="00CE27FB" w:rsidRDefault="00D14737">
      <w:pPr>
        <w:pStyle w:val="BodyText"/>
        <w:rPr>
          <w:rFonts w:ascii="Calibri" w:hAnsi="Calibri"/>
          <w:lang w:val="en-US" w:eastAsia="zh-CN"/>
        </w:rPr>
      </w:pPr>
      <w:r>
        <w:rPr>
          <w:rFonts w:ascii="Calibri" w:hAnsi="Calibri" w:hint="eastAsia"/>
          <w:lang w:val="en-US" w:eastAsia="zh-CN"/>
        </w:rPr>
        <w:t xml:space="preserve">[9] </w:t>
      </w:r>
      <w:r>
        <w:rPr>
          <w:rFonts w:ascii="Calibri" w:hAnsi="Calibri" w:hint="eastAsia"/>
          <w:lang w:val="en-US" w:eastAsia="zh-CN"/>
        </w:rPr>
        <w:tab/>
        <w:t>VTS58-12.2.3 Service Specification for Route Exchange Edition 1.1</w:t>
      </w:r>
    </w:p>
    <w:p w14:paraId="1DA19A8F" w14:textId="77777777" w:rsidR="00CE27FB" w:rsidRDefault="00D14737">
      <w:pPr>
        <w:pStyle w:val="BodyText"/>
        <w:rPr>
          <w:rFonts w:ascii="Calibri" w:hAnsi="Calibri"/>
          <w:lang w:val="en-US" w:eastAsia="zh-CN"/>
        </w:rPr>
      </w:pPr>
      <w:r>
        <w:rPr>
          <w:rFonts w:ascii="Calibri" w:hAnsi="Calibri" w:hint="eastAsia"/>
          <w:lang w:val="en-US" w:eastAsia="zh-CN"/>
        </w:rPr>
        <w:t xml:space="preserve">[10] </w:t>
      </w:r>
      <w:r>
        <w:rPr>
          <w:rFonts w:ascii="Calibri" w:hAnsi="Calibri" w:hint="eastAsia"/>
          <w:lang w:val="en-US" w:eastAsia="zh-CN"/>
        </w:rPr>
        <w:tab/>
        <w:t>C02-10.5.2 Revised G1128 Specification of e-Navigation Technical Services Edition 1.7</w:t>
      </w:r>
    </w:p>
    <w:p w14:paraId="1DA19A90" w14:textId="77777777" w:rsidR="00CE27FB" w:rsidRDefault="00D14737">
      <w:pPr>
        <w:pStyle w:val="BodyText"/>
        <w:rPr>
          <w:rFonts w:ascii="Calibri" w:hAnsi="Calibri"/>
          <w:lang w:val="en-US" w:eastAsia="zh-CN"/>
        </w:rPr>
      </w:pPr>
      <w:r>
        <w:rPr>
          <w:rFonts w:ascii="Calibri" w:hAnsi="Calibri" w:hint="eastAsia"/>
          <w:lang w:val="en-US" w:eastAsia="zh-CN"/>
        </w:rPr>
        <w:t xml:space="preserve">[11] </w:t>
      </w:r>
      <w:r>
        <w:rPr>
          <w:rFonts w:ascii="Calibri" w:hAnsi="Calibri" w:hint="eastAsia"/>
          <w:lang w:val="en-US" w:eastAsia="zh-CN"/>
        </w:rPr>
        <w:tab/>
        <w:t>IMO NCSR 13-9  Operational Guidance for Route Exchange</w:t>
      </w:r>
    </w:p>
    <w:p w14:paraId="1DA19A91" w14:textId="77777777" w:rsidR="00CE27FB" w:rsidRDefault="00D14737">
      <w:pPr>
        <w:pStyle w:val="Heading1"/>
      </w:pPr>
      <w:r>
        <w:lastRenderedPageBreak/>
        <w:t>Background</w:t>
      </w:r>
    </w:p>
    <w:p w14:paraId="1DA19A92" w14:textId="77777777" w:rsidR="00CE27FB" w:rsidRDefault="00D14737">
      <w:pPr>
        <w:pStyle w:val="BodyText"/>
        <w:rPr>
          <w:rFonts w:ascii="Calibri" w:hAnsi="Calibri"/>
          <w:lang w:val="en-US" w:eastAsia="zh-CN"/>
        </w:rPr>
      </w:pPr>
      <w:r>
        <w:rPr>
          <w:rFonts w:ascii="Calibri" w:hAnsi="Calibri"/>
          <w:b/>
          <w:caps/>
          <w:color w:val="0070C0"/>
          <w:kern w:val="28"/>
          <w:lang w:val="en-US" w:eastAsia="zh-CN"/>
        </w:rPr>
        <w:t>2.1</w:t>
      </w:r>
      <w:r>
        <w:rPr>
          <w:rFonts w:ascii="Calibri" w:hAnsi="Calibri"/>
          <w:lang w:val="en-US" w:eastAsia="zh-CN"/>
        </w:rPr>
        <w:tab/>
      </w:r>
      <w:r>
        <w:rPr>
          <w:rFonts w:ascii="Calibri" w:hAnsi="Calibri"/>
          <w:lang w:val="en-US"/>
        </w:rPr>
        <w:t>The IALA VTS Committee Work Plan 2023-2027 raises the task”</w:t>
      </w:r>
      <w:r>
        <w:rPr>
          <w:rFonts w:ascii="Calibri" w:hAnsi="Calibri"/>
          <w:i/>
          <w:iCs/>
        </w:rPr>
        <w:t xml:space="preserve"> Development of technical service specifications for digital data exchange between VTS and other entities - primarily ships</w:t>
      </w:r>
      <w:r>
        <w:rPr>
          <w:rFonts w:ascii="Calibri" w:hAnsi="Calibri"/>
          <w:lang w:val="en-US"/>
        </w:rPr>
        <w:t xml:space="preserve">” (task 2.5.2),  </w:t>
      </w:r>
      <w:r>
        <w:rPr>
          <w:rFonts w:ascii="Calibri" w:hAnsi="Calibri" w:hint="eastAsia"/>
          <w:i/>
          <w:iCs/>
          <w:lang w:val="en-US" w:eastAsia="zh-CN"/>
        </w:rPr>
        <w:t>Service Specification for VTS -Vessel Route Exchange Edition 1.1</w:t>
      </w:r>
      <w:r>
        <w:rPr>
          <w:rFonts w:ascii="Calibri" w:hAnsi="Calibri" w:hint="eastAsia"/>
          <w:lang w:val="en-US" w:eastAsia="zh-CN"/>
        </w:rPr>
        <w:t xml:space="preserve"> </w:t>
      </w:r>
      <w:r>
        <w:rPr>
          <w:rFonts w:ascii="Calibri" w:hAnsi="Calibri"/>
          <w:lang w:val="en-US"/>
        </w:rPr>
        <w:t>had been finalized at VTS5</w:t>
      </w:r>
      <w:r>
        <w:rPr>
          <w:rFonts w:ascii="Calibri" w:hAnsi="Calibri" w:hint="eastAsia"/>
          <w:lang w:val="en-US" w:eastAsia="zh-CN"/>
        </w:rPr>
        <w:t>8</w:t>
      </w:r>
      <w:r>
        <w:rPr>
          <w:rFonts w:ascii="Calibri" w:hAnsi="Calibri"/>
          <w:lang w:val="en-US"/>
        </w:rPr>
        <w:t>.</w:t>
      </w:r>
    </w:p>
    <w:p w14:paraId="1DA19A93" w14:textId="77777777" w:rsidR="00CE27FB" w:rsidRDefault="00D14737">
      <w:pPr>
        <w:pStyle w:val="BodyText"/>
        <w:rPr>
          <w:rFonts w:ascii="Calibri" w:hAnsi="Calibri"/>
          <w:lang w:val="en-US" w:eastAsia="zh-CN"/>
        </w:rPr>
      </w:pPr>
      <w:r>
        <w:rPr>
          <w:rFonts w:ascii="Calibri" w:hAnsi="Calibri"/>
          <w:b/>
          <w:caps/>
          <w:color w:val="0070C0"/>
          <w:kern w:val="28"/>
          <w:lang w:val="en-US" w:eastAsia="zh-CN"/>
        </w:rPr>
        <w:t xml:space="preserve">2.2  </w:t>
      </w:r>
      <w:r>
        <w:rPr>
          <w:rFonts w:ascii="Calibri" w:hAnsi="Calibri"/>
          <w:lang w:val="en-US" w:eastAsia="zh-CN"/>
        </w:rPr>
        <w:t xml:space="preserve">   </w:t>
      </w:r>
      <w:r>
        <w:rPr>
          <w:rFonts w:ascii="Calibri" w:hAnsi="Calibri"/>
          <w:lang w:val="en-US"/>
        </w:rPr>
        <w:t>As the co-sponsor</w:t>
      </w:r>
      <w:r>
        <w:rPr>
          <w:rFonts w:ascii="Calibri" w:hAnsi="Calibri"/>
        </w:rPr>
        <w:t xml:space="preserve"> of</w:t>
      </w:r>
      <w:r>
        <w:rPr>
          <w:rFonts w:ascii="Calibri" w:hAnsi="Calibri"/>
          <w:lang w:val="en-US"/>
        </w:rPr>
        <w:t xml:space="preserve">  the new work task proposal (VTS 53-6.3.2) at  VTS53, China MSA continued to submit </w:t>
      </w:r>
      <w:r>
        <w:rPr>
          <w:rFonts w:ascii="Calibri" w:hAnsi="Calibri"/>
          <w:i/>
          <w:iCs/>
          <w:lang w:val="en-US"/>
        </w:rPr>
        <w:t>"</w:t>
      </w:r>
      <w:r>
        <w:rPr>
          <w:rFonts w:ascii="Calibri" w:hAnsi="Calibri"/>
          <w:i/>
          <w:iCs/>
        </w:rPr>
        <w:t xml:space="preserve"> </w:t>
      </w:r>
      <w:r>
        <w:rPr>
          <w:rFonts w:ascii="Calibri" w:hAnsi="Calibri" w:hint="eastAsia"/>
          <w:i/>
          <w:iCs/>
          <w:lang w:val="en-US" w:eastAsia="zh-CN"/>
        </w:rPr>
        <w:t>P</w:t>
      </w:r>
      <w:r>
        <w:rPr>
          <w:rFonts w:ascii="Calibri" w:hAnsi="Calibri"/>
          <w:i/>
          <w:iCs/>
          <w:lang w:val="en-US"/>
        </w:rPr>
        <w:t>roposals on the New Work Task of Developing Technical Service Specifications for Digital Data Exchange between VTS and Other Entities (VTS54 9.1.3) "</w:t>
      </w:r>
      <w:r>
        <w:rPr>
          <w:rFonts w:ascii="Calibri" w:hAnsi="Calibri"/>
        </w:rPr>
        <w:t xml:space="preserve"> </w:t>
      </w:r>
      <w:r>
        <w:rPr>
          <w:rFonts w:ascii="Calibri" w:hAnsi="Calibri"/>
          <w:lang w:val="en-US"/>
        </w:rPr>
        <w:t xml:space="preserve"> and </w:t>
      </w:r>
      <w:r>
        <w:rPr>
          <w:rFonts w:ascii="Calibri" w:hAnsi="Calibri"/>
          <w:i/>
          <w:iCs/>
          <w:lang w:val="en-US"/>
        </w:rPr>
        <w:t>"</w:t>
      </w:r>
      <w:r>
        <w:rPr>
          <w:rFonts w:ascii="Calibri" w:hAnsi="Calibri"/>
          <w:i/>
          <w:iCs/>
        </w:rPr>
        <w:t xml:space="preserve"> </w:t>
      </w:r>
      <w:r>
        <w:rPr>
          <w:rFonts w:ascii="Calibri" w:hAnsi="Calibri"/>
          <w:i/>
          <w:iCs/>
          <w:lang w:val="en-US"/>
        </w:rPr>
        <w:t>Draft of Service Specification for digital VTS Anchorage Assignment Service</w:t>
      </w:r>
      <w:r>
        <w:rPr>
          <w:rFonts w:ascii="Calibri" w:hAnsi="Calibri" w:hint="eastAsia"/>
          <w:i/>
          <w:iCs/>
          <w:lang w:val="en-US" w:eastAsia="zh-CN"/>
        </w:rPr>
        <w:t xml:space="preserve"> Edition </w:t>
      </w:r>
      <w:r>
        <w:rPr>
          <w:rFonts w:ascii="Calibri" w:hAnsi="Calibri"/>
          <w:i/>
          <w:iCs/>
          <w:lang w:val="en-US"/>
        </w:rPr>
        <w:t xml:space="preserve">0.5" </w:t>
      </w:r>
      <w:r>
        <w:rPr>
          <w:rFonts w:ascii="Calibri" w:hAnsi="Calibri"/>
          <w:lang w:val="en-US"/>
        </w:rPr>
        <w:t>(VTS54 8.3.2) at VTS54</w:t>
      </w:r>
      <w:r>
        <w:rPr>
          <w:rFonts w:ascii="Calibri" w:hAnsi="Calibri" w:hint="eastAsia"/>
          <w:lang w:val="en-US" w:eastAsia="zh-CN"/>
        </w:rPr>
        <w:t xml:space="preserve">, </w:t>
      </w:r>
      <w:r>
        <w:rPr>
          <w:rFonts w:ascii="Calibri" w:hAnsi="Calibri"/>
          <w:i/>
          <w:iCs/>
          <w:lang w:val="en-US" w:eastAsia="zh-CN"/>
        </w:rPr>
        <w:t>“</w:t>
      </w:r>
      <w:r>
        <w:rPr>
          <w:rFonts w:ascii="Calibri" w:hAnsi="Calibri"/>
          <w:i/>
          <w:iCs/>
          <w:lang w:val="en-US"/>
        </w:rPr>
        <w:t>Proposals on the Service Specification for VTS Traffic Clearance Service</w:t>
      </w:r>
      <w:r>
        <w:rPr>
          <w:rFonts w:ascii="Calibri" w:hAnsi="Calibri" w:hint="eastAsia"/>
          <w:i/>
          <w:iCs/>
          <w:lang w:val="en-US" w:eastAsia="zh-CN"/>
        </w:rPr>
        <w:t xml:space="preserve"> Edition </w:t>
      </w:r>
      <w:r>
        <w:rPr>
          <w:rFonts w:ascii="Calibri" w:hAnsi="Calibri"/>
          <w:i/>
          <w:iCs/>
          <w:lang w:val="en-US"/>
        </w:rPr>
        <w:t>1.0”</w:t>
      </w:r>
      <w:r>
        <w:rPr>
          <w:rFonts w:ascii="Calibri" w:hAnsi="Calibri"/>
          <w:lang w:val="en-US"/>
        </w:rPr>
        <w:t xml:space="preserve"> (VTS55-9.1.1) at VTS55, and</w:t>
      </w:r>
      <w:r>
        <w:rPr>
          <w:rFonts w:ascii="Calibri" w:hAnsi="Calibri"/>
          <w:b/>
          <w:bCs/>
          <w:i/>
          <w:iCs/>
        </w:rPr>
        <w:t xml:space="preserve"> </w:t>
      </w:r>
      <w:r>
        <w:rPr>
          <w:rFonts w:ascii="Calibri" w:hAnsi="Calibri"/>
          <w:i/>
          <w:iCs/>
          <w:lang w:val="en-US" w:eastAsia="zh-CN"/>
        </w:rPr>
        <w:t>"</w:t>
      </w:r>
      <w:r>
        <w:rPr>
          <w:rFonts w:ascii="Calibri" w:hAnsi="Calibri"/>
          <w:i/>
          <w:iCs/>
          <w:lang w:val="en-US"/>
        </w:rPr>
        <w:t>Proposals on the Service Specification for VTS Traffic Clearance Service</w:t>
      </w:r>
      <w:r>
        <w:rPr>
          <w:rFonts w:ascii="Calibri" w:hAnsi="Calibri" w:hint="eastAsia"/>
          <w:i/>
          <w:iCs/>
          <w:lang w:val="en-US" w:eastAsia="zh-CN"/>
        </w:rPr>
        <w:t xml:space="preserve"> Edition </w:t>
      </w:r>
      <w:r>
        <w:rPr>
          <w:rFonts w:ascii="Calibri" w:hAnsi="Calibri"/>
          <w:i/>
          <w:iCs/>
          <w:lang w:val="en-US"/>
        </w:rPr>
        <w:t>1.3</w:t>
      </w:r>
      <w:r>
        <w:rPr>
          <w:rFonts w:ascii="Calibri" w:hAnsi="Calibri" w:hint="eastAsia"/>
          <w:i/>
          <w:iCs/>
          <w:lang w:val="en-US" w:eastAsia="zh-CN"/>
        </w:rPr>
        <w:t xml:space="preserve"> </w:t>
      </w:r>
      <w:r>
        <w:rPr>
          <w:rFonts w:ascii="Calibri" w:hAnsi="Calibri"/>
          <w:i/>
          <w:iCs/>
          <w:lang w:val="en-US" w:eastAsia="zh-CN"/>
        </w:rPr>
        <w:t>and Service design"</w:t>
      </w:r>
      <w:r>
        <w:rPr>
          <w:rFonts w:ascii="Calibri" w:hAnsi="Calibri"/>
          <w:lang w:val="en-US"/>
        </w:rPr>
        <w:t xml:space="preserve"> (VTS56-9.1.1) at VTS</w:t>
      </w:r>
      <w:r>
        <w:rPr>
          <w:rFonts w:ascii="Calibri" w:hAnsi="Calibri" w:hint="eastAsia"/>
          <w:lang w:val="en-US" w:eastAsia="zh-CN"/>
        </w:rPr>
        <w:t xml:space="preserve">56 , </w:t>
      </w:r>
      <w:r>
        <w:rPr>
          <w:rFonts w:ascii="Calibri" w:hAnsi="Calibri" w:hint="eastAsia"/>
          <w:i/>
          <w:iCs/>
          <w:lang w:val="en-US" w:eastAsia="zh-CN"/>
        </w:rPr>
        <w:t xml:space="preserve">"Proposals on the Service Specification for VTS Traffic Clearance Edition 1.4" </w:t>
      </w:r>
      <w:r>
        <w:rPr>
          <w:rFonts w:ascii="Calibri" w:hAnsi="Calibri" w:hint="eastAsia"/>
          <w:lang w:val="en-US" w:eastAsia="zh-CN"/>
        </w:rPr>
        <w:t xml:space="preserve">(VTS57-9.1.2), </w:t>
      </w:r>
      <w:r>
        <w:rPr>
          <w:rFonts w:ascii="Calibri" w:hAnsi="Calibri" w:hint="eastAsia"/>
          <w:i/>
          <w:iCs/>
          <w:lang w:val="en-US" w:eastAsia="zh-CN"/>
        </w:rPr>
        <w:t xml:space="preserve">"Proposals on the Service Specification for VTS -Vessel Route Exchange Edition 0.3" </w:t>
      </w:r>
      <w:r>
        <w:rPr>
          <w:rFonts w:ascii="Calibri" w:hAnsi="Calibri" w:hint="eastAsia"/>
          <w:lang w:val="en-US" w:eastAsia="zh-CN"/>
        </w:rPr>
        <w:t>(VTS57-9.1.1)</w:t>
      </w:r>
      <w:r>
        <w:rPr>
          <w:rFonts w:ascii="Calibri" w:hAnsi="Calibri"/>
          <w:lang w:val="en-US"/>
        </w:rPr>
        <w:t xml:space="preserve"> at VTS5</w:t>
      </w:r>
      <w:r>
        <w:rPr>
          <w:rFonts w:ascii="Calibri" w:hAnsi="Calibri" w:hint="eastAsia"/>
          <w:lang w:val="en-US" w:eastAsia="zh-CN"/>
        </w:rPr>
        <w:t xml:space="preserve">7, </w:t>
      </w:r>
      <w:r>
        <w:rPr>
          <w:rFonts w:ascii="Calibri" w:hAnsi="Calibri" w:hint="eastAsia"/>
          <w:i/>
          <w:iCs/>
          <w:lang w:val="en-US" w:eastAsia="zh-CN"/>
        </w:rPr>
        <w:t xml:space="preserve">"Proposals on the Service Specification for VTS -Vessel Route Exchange Edition 1.0" </w:t>
      </w:r>
      <w:r>
        <w:rPr>
          <w:rFonts w:ascii="Calibri" w:hAnsi="Calibri" w:hint="eastAsia"/>
          <w:lang w:val="en-US" w:eastAsia="zh-CN"/>
        </w:rPr>
        <w:t>(VTS58-9.1.1 )</w:t>
      </w:r>
      <w:r>
        <w:rPr>
          <w:rFonts w:ascii="Calibri" w:hAnsi="Calibri"/>
          <w:lang w:val="en-US"/>
        </w:rPr>
        <w:t>at VTS5</w:t>
      </w:r>
      <w:r>
        <w:rPr>
          <w:rFonts w:ascii="Calibri" w:hAnsi="Calibri" w:hint="eastAsia"/>
          <w:lang w:val="en-US" w:eastAsia="zh-CN"/>
        </w:rPr>
        <w:t xml:space="preserve">8, </w:t>
      </w:r>
      <w:r>
        <w:rPr>
          <w:rFonts w:ascii="Calibri" w:hAnsi="Calibri"/>
          <w:i/>
          <w:iCs/>
          <w:lang w:val="en-US" w:eastAsia="zh-CN"/>
        </w:rPr>
        <w:t>“</w:t>
      </w:r>
      <w:r>
        <w:rPr>
          <w:rFonts w:ascii="Calibri" w:hAnsi="Calibri"/>
          <w:i/>
          <w:iCs/>
          <w:lang w:val="en-US"/>
        </w:rPr>
        <w:t>Proposals on the Service Specification for VTS Traffic Clearance Service</w:t>
      </w:r>
      <w:r>
        <w:rPr>
          <w:rFonts w:ascii="Calibri" w:hAnsi="Calibri" w:hint="eastAsia"/>
          <w:i/>
          <w:iCs/>
          <w:lang w:val="en-US" w:eastAsia="zh-CN"/>
        </w:rPr>
        <w:t xml:space="preserve"> Edition</w:t>
      </w:r>
      <w:r>
        <w:rPr>
          <w:rFonts w:ascii="Calibri" w:hAnsi="Calibri"/>
          <w:i/>
          <w:iCs/>
          <w:lang w:val="en-US"/>
        </w:rPr>
        <w:t>1.0”</w:t>
      </w:r>
      <w:r>
        <w:rPr>
          <w:rFonts w:ascii="Calibri" w:hAnsi="Calibri" w:hint="eastAsia"/>
          <w:i/>
          <w:iCs/>
          <w:lang w:val="en-US" w:eastAsia="zh-CN"/>
        </w:rPr>
        <w:t xml:space="preserve"> </w:t>
      </w:r>
      <w:r>
        <w:rPr>
          <w:rFonts w:ascii="Calibri" w:hAnsi="Calibri"/>
          <w:lang w:val="en-US"/>
        </w:rPr>
        <w:t>(VTS55-9.1.1)</w:t>
      </w:r>
      <w:r>
        <w:rPr>
          <w:rFonts w:ascii="Calibri" w:hAnsi="Calibri" w:hint="eastAsia"/>
          <w:lang w:val="en-US" w:eastAsia="zh-CN"/>
        </w:rPr>
        <w:t xml:space="preserve"> and </w:t>
      </w:r>
      <w:r>
        <w:rPr>
          <w:rFonts w:ascii="Calibri" w:hAnsi="Calibri"/>
          <w:i/>
          <w:iCs/>
          <w:lang w:val="en-US" w:eastAsia="zh-CN"/>
        </w:rPr>
        <w:t>“</w:t>
      </w:r>
      <w:r>
        <w:rPr>
          <w:rFonts w:ascii="Calibri" w:hAnsi="Calibri"/>
          <w:i/>
          <w:iCs/>
          <w:lang w:val="en-US"/>
        </w:rPr>
        <w:t xml:space="preserve">Proposals on the Service Specification for </w:t>
      </w:r>
      <w:r>
        <w:rPr>
          <w:rFonts w:ascii="Calibri" w:hAnsi="Calibri" w:hint="eastAsia"/>
          <w:i/>
          <w:iCs/>
          <w:lang w:val="en-US" w:eastAsia="zh-CN"/>
        </w:rPr>
        <w:t>UKC Edition 0.5</w:t>
      </w:r>
      <w:r>
        <w:rPr>
          <w:rFonts w:ascii="Calibri" w:hAnsi="Calibri"/>
          <w:i/>
          <w:iCs/>
          <w:lang w:val="en-US"/>
        </w:rPr>
        <w:t>”</w:t>
      </w:r>
      <w:r>
        <w:rPr>
          <w:rFonts w:ascii="Calibri" w:hAnsi="Calibri" w:hint="eastAsia"/>
          <w:i/>
          <w:iCs/>
          <w:lang w:val="en-US" w:eastAsia="zh-CN"/>
        </w:rPr>
        <w:t xml:space="preserve"> </w:t>
      </w:r>
      <w:r>
        <w:rPr>
          <w:rFonts w:ascii="Calibri" w:hAnsi="Calibri"/>
          <w:lang w:val="en-US"/>
        </w:rPr>
        <w:t>at VTS5</w:t>
      </w:r>
      <w:r>
        <w:rPr>
          <w:rFonts w:ascii="Calibri" w:hAnsi="Calibri" w:hint="eastAsia"/>
          <w:lang w:val="en-US" w:eastAsia="zh-CN"/>
        </w:rPr>
        <w:t>9.</w:t>
      </w:r>
    </w:p>
    <w:p w14:paraId="1DA19A94" w14:textId="77777777" w:rsidR="00CE27FB" w:rsidRDefault="00D14737">
      <w:pPr>
        <w:pStyle w:val="Heading1"/>
      </w:pPr>
      <w:r>
        <w:t>Discussion</w:t>
      </w:r>
    </w:p>
    <w:p w14:paraId="1DA19A95" w14:textId="77777777" w:rsidR="00CE27FB" w:rsidRDefault="00D14737">
      <w:pPr>
        <w:pStyle w:val="Heading2"/>
        <w:tabs>
          <w:tab w:val="left" w:pos="567"/>
        </w:tabs>
        <w:rPr>
          <w:lang w:eastAsia="zh-CN"/>
        </w:rPr>
      </w:pPr>
      <w:r>
        <w:t xml:space="preserve">Proposals on updating </w:t>
      </w:r>
      <w:r>
        <w:rPr>
          <w:rFonts w:hint="eastAsia"/>
          <w:lang w:val="en-US" w:eastAsia="zh-CN"/>
        </w:rPr>
        <w:t>the operational context</w:t>
      </w:r>
    </w:p>
    <w:p w14:paraId="1DA19A96" w14:textId="77777777" w:rsidR="00CE27FB" w:rsidRDefault="00D14737">
      <w:pPr>
        <w:pStyle w:val="BodyText"/>
        <w:rPr>
          <w:rFonts w:ascii="Calibri" w:hAnsi="Calibri"/>
          <w:lang w:val="en-US" w:eastAsia="zh-CN"/>
        </w:rPr>
      </w:pPr>
      <w:bookmarkStart w:id="3" w:name="_Hlk170114292"/>
      <w:r>
        <w:rPr>
          <w:rFonts w:ascii="Calibri" w:hAnsi="Calibri" w:hint="eastAsia"/>
          <w:lang w:val="en-US" w:eastAsia="zh-CN"/>
        </w:rPr>
        <w:t>G1128 emphasizes that "the operational context shall describe any requirement the service shall fulfil or adhere to. This refers to functional as well as non-functional requirements at a high level".</w:t>
      </w:r>
    </w:p>
    <w:p w14:paraId="1DA19A97" w14:textId="77777777" w:rsidR="00CE27FB" w:rsidRDefault="00D14737">
      <w:pPr>
        <w:pStyle w:val="BodyText"/>
        <w:rPr>
          <w:rFonts w:ascii="Calibri" w:hAnsi="Calibri"/>
          <w:lang w:val="en-US" w:eastAsia="zh-CN"/>
        </w:rPr>
      </w:pPr>
      <w:r>
        <w:rPr>
          <w:rFonts w:ascii="Calibri" w:hAnsi="Calibri" w:hint="eastAsia"/>
          <w:i/>
          <w:iCs/>
          <w:lang w:val="en-US" w:eastAsia="zh-CN"/>
        </w:rPr>
        <w:t>The Operational Guidance for Route Exchange</w:t>
      </w:r>
      <w:r>
        <w:rPr>
          <w:rFonts w:ascii="Calibri" w:hAnsi="Calibri" w:hint="eastAsia"/>
          <w:lang w:val="en-US" w:eastAsia="zh-CN"/>
        </w:rPr>
        <w:t xml:space="preserve"> (NCSR 13/9 Annex 4), approved by NCSR 13 in June 2026, applies to the digital exchange of route information between ships and shore-based authorities or services (including, but not limited to, vessel traffic services), covering both ship-to-shore and shore-to-ship exchanges. The Guidance has been developed to provide safe, effective and harmonized operational instructions for the voluntary exchange of digital route plans between ships and shore-based Maritime Services within the S-100 framework, and highl</w:t>
      </w:r>
      <w:r>
        <w:rPr>
          <w:rFonts w:ascii="Calibri" w:hAnsi="Calibri" w:hint="eastAsia"/>
          <w:lang w:val="en-US" w:eastAsia="zh-CN"/>
        </w:rPr>
        <w:t>ights its role in supporting the ongoing development of maritime services. Implementation of this Guidance is expected to enhance safety of navigation, improve compliance with environmental regulations and facilitate voyage planning. Consequently, any use of ship-shore digital route exchange should take this Guidance fully into account.</w:t>
      </w:r>
    </w:p>
    <w:p w14:paraId="1DA19A98" w14:textId="77777777" w:rsidR="00CE27FB" w:rsidRDefault="00D14737">
      <w:pPr>
        <w:pStyle w:val="BodyText"/>
        <w:rPr>
          <w:rFonts w:ascii="Calibri" w:hAnsi="Calibri"/>
          <w:lang w:val="en-US" w:eastAsia="zh-CN"/>
        </w:rPr>
      </w:pPr>
      <w:r>
        <w:rPr>
          <w:rFonts w:ascii="Calibri" w:hAnsi="Calibri" w:hint="eastAsia"/>
          <w:lang w:val="en-US" w:eastAsia="zh-CN"/>
        </w:rPr>
        <w:t>Upon review, it is suggested to update the operational context section from the following aspects:</w:t>
      </w:r>
    </w:p>
    <w:p w14:paraId="1DA19A99"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lang w:val="en-US" w:eastAsia="zh-CN"/>
        </w:rPr>
        <w:t>a.</w:t>
      </w:r>
      <w:r>
        <w:rPr>
          <w:rFonts w:asciiTheme="minorHAnsi" w:hAnsiTheme="minorHAnsi" w:hint="eastAsia"/>
          <w:lang w:val="en-US" w:eastAsia="zh-CN"/>
        </w:rPr>
        <w:tab/>
      </w:r>
      <w:r>
        <w:rPr>
          <w:rFonts w:asciiTheme="minorHAnsi" w:hAnsiTheme="minorHAnsi"/>
          <w:lang w:val="en-US" w:eastAsia="zh-CN"/>
        </w:rPr>
        <w:t>Update the objectives of the route exchange service to enhance situational awareness, support decision-making for both ship and shore, and improve safety and operational efficiency (e.g., optimizing traffic flow, reducing voice communication burden);</w:t>
      </w:r>
    </w:p>
    <w:p w14:paraId="1DA19A9A"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lang w:val="en-US" w:eastAsia="zh-CN"/>
        </w:rPr>
        <w:t>b.</w:t>
      </w:r>
      <w:r>
        <w:rPr>
          <w:rFonts w:asciiTheme="minorHAnsi" w:hAnsiTheme="minorHAnsi" w:hint="eastAsia"/>
          <w:lang w:val="en-US" w:eastAsia="zh-CN"/>
        </w:rPr>
        <w:tab/>
      </w:r>
      <w:r>
        <w:rPr>
          <w:rFonts w:asciiTheme="minorHAnsi" w:hAnsiTheme="minorHAnsi"/>
          <w:lang w:val="en-US" w:eastAsia="zh-CN"/>
        </w:rPr>
        <w:t xml:space="preserve">Incorporate the terminology and definitions for </w:t>
      </w:r>
      <w:r>
        <w:rPr>
          <w:rFonts w:asciiTheme="minorHAnsi" w:hAnsiTheme="minorHAnsi" w:hint="eastAsia"/>
          <w:lang w:val="en-US" w:eastAsia="zh-CN"/>
        </w:rPr>
        <w:t>D</w:t>
      </w:r>
      <w:r>
        <w:rPr>
          <w:rFonts w:asciiTheme="minorHAnsi" w:hAnsiTheme="minorHAnsi"/>
          <w:lang w:val="en-US" w:eastAsia="zh-CN"/>
        </w:rPr>
        <w:t xml:space="preserve">igital </w:t>
      </w:r>
      <w:r>
        <w:rPr>
          <w:rFonts w:asciiTheme="minorHAnsi" w:hAnsiTheme="minorHAnsi" w:hint="eastAsia"/>
          <w:lang w:val="en-US" w:eastAsia="zh-CN"/>
        </w:rPr>
        <w:t>R</w:t>
      </w:r>
      <w:r>
        <w:rPr>
          <w:rFonts w:asciiTheme="minorHAnsi" w:hAnsiTheme="minorHAnsi"/>
          <w:lang w:val="en-US" w:eastAsia="zh-CN"/>
        </w:rPr>
        <w:t>oute exchange ;</w:t>
      </w:r>
    </w:p>
    <w:p w14:paraId="1DA19A9B"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lang w:val="en-US" w:eastAsia="zh-CN"/>
        </w:rPr>
        <w:t>c.</w:t>
      </w:r>
      <w:r>
        <w:rPr>
          <w:rFonts w:asciiTheme="minorHAnsi" w:hAnsiTheme="minorHAnsi" w:hint="eastAsia"/>
          <w:lang w:val="en-US" w:eastAsia="zh-CN"/>
        </w:rPr>
        <w:tab/>
      </w:r>
      <w:r>
        <w:rPr>
          <w:rFonts w:asciiTheme="minorHAnsi" w:hAnsiTheme="minorHAnsi"/>
          <w:lang w:val="en-US" w:eastAsia="zh-CN"/>
        </w:rPr>
        <w:t>Update the definitions for</w:t>
      </w:r>
      <w:r>
        <w:rPr>
          <w:rFonts w:asciiTheme="minorHAnsi" w:hAnsiTheme="minorHAnsi" w:hint="eastAsia"/>
          <w:lang w:val="en-US" w:eastAsia="zh-CN"/>
        </w:rPr>
        <w:t xml:space="preserve"> R</w:t>
      </w:r>
      <w:r>
        <w:rPr>
          <w:rFonts w:asciiTheme="minorHAnsi" w:hAnsiTheme="minorHAnsi"/>
          <w:lang w:val="en-US" w:eastAsia="zh-CN"/>
        </w:rPr>
        <w:t xml:space="preserve">oute crosscheck service, Route reference service, and Route monitoring service. It is suggested to add the definition for </w:t>
      </w:r>
      <w:r>
        <w:rPr>
          <w:rFonts w:asciiTheme="minorHAnsi" w:hAnsiTheme="minorHAnsi" w:hint="eastAsia"/>
          <w:lang w:val="en-US" w:eastAsia="zh-CN"/>
        </w:rPr>
        <w:t>R</w:t>
      </w:r>
      <w:r>
        <w:rPr>
          <w:rFonts w:asciiTheme="minorHAnsi" w:hAnsiTheme="minorHAnsi"/>
          <w:lang w:val="en-US" w:eastAsia="zh-CN"/>
        </w:rPr>
        <w:t>oute exchange service</w:t>
      </w:r>
      <w:r>
        <w:rPr>
          <w:rFonts w:asciiTheme="minorHAnsi" w:hAnsiTheme="minorHAnsi" w:hint="eastAsia"/>
          <w:lang w:val="en-US" w:eastAsia="zh-CN"/>
        </w:rPr>
        <w:t>.</w:t>
      </w:r>
    </w:p>
    <w:bookmarkEnd w:id="3"/>
    <w:p w14:paraId="1DA19A9C" w14:textId="77777777" w:rsidR="00CE27FB" w:rsidRDefault="00D14737">
      <w:pPr>
        <w:pStyle w:val="Heading2"/>
        <w:tabs>
          <w:tab w:val="left" w:pos="567"/>
        </w:tabs>
      </w:pPr>
      <w:r>
        <w:t xml:space="preserve">Proposals on updating </w:t>
      </w:r>
      <w:r>
        <w:rPr>
          <w:rFonts w:hint="eastAsia"/>
        </w:rPr>
        <w:t xml:space="preserve"> use cases</w:t>
      </w:r>
    </w:p>
    <w:p w14:paraId="1DA19A9D" w14:textId="77777777" w:rsidR="00CE27FB" w:rsidRDefault="00D14737">
      <w:pPr>
        <w:pStyle w:val="BodyText"/>
        <w:rPr>
          <w:rFonts w:ascii="Calibri" w:hAnsi="Calibri"/>
          <w:lang w:val="en-US" w:eastAsia="zh-CN"/>
        </w:rPr>
      </w:pPr>
      <w:r>
        <w:rPr>
          <w:rFonts w:ascii="Calibri" w:hAnsi="Calibri" w:hint="eastAsia"/>
          <w:lang w:val="en-US" w:eastAsia="zh-CN"/>
        </w:rPr>
        <w:t>it is suggested to add the following operational service details:</w:t>
      </w:r>
    </w:p>
    <w:p w14:paraId="1DA19A9E"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a.</w:t>
      </w:r>
      <w:r>
        <w:rPr>
          <w:rFonts w:asciiTheme="minorHAnsi" w:hAnsiTheme="minorHAnsi" w:hint="eastAsia"/>
          <w:lang w:val="en-US" w:eastAsia="zh-CN"/>
        </w:rPr>
        <w:tab/>
      </w:r>
      <w:r>
        <w:rPr>
          <w:rFonts w:asciiTheme="minorHAnsi" w:hAnsiTheme="minorHAnsi" w:hint="eastAsia"/>
          <w:lang w:val="en-US" w:eastAsia="zh-CN"/>
        </w:rPr>
        <w:t>In UC1, Typical sequence 4, "The [service] (checks that the route is valid according to the schema)" should be refined to [route crosscheck service], to correspond with the [route exchange service] in Typical sequences 5 and 6;</w:t>
      </w:r>
    </w:p>
    <w:p w14:paraId="1DA19A9F"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b. </w:t>
      </w:r>
      <w:r>
        <w:rPr>
          <w:rFonts w:asciiTheme="minorHAnsi" w:hAnsiTheme="minorHAnsi" w:hint="eastAsia"/>
          <w:lang w:val="en-US" w:eastAsia="zh-CN"/>
        </w:rPr>
        <w:tab/>
      </w:r>
      <w:r>
        <w:rPr>
          <w:rFonts w:asciiTheme="minorHAnsi" w:hAnsiTheme="minorHAnsi" w:hint="eastAsia"/>
          <w:lang w:val="en-US" w:eastAsia="zh-CN"/>
        </w:rPr>
        <w:t>In UC3, Typical sequences 1, 2, and 3, "The [service] (sends "received" acknowledgement automatically)" should be refined to [route exchange service];</w:t>
      </w:r>
    </w:p>
    <w:p w14:paraId="1DA19AA0"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c. </w:t>
      </w:r>
      <w:r>
        <w:rPr>
          <w:rFonts w:asciiTheme="minorHAnsi" w:hAnsiTheme="minorHAnsi" w:hint="eastAsia"/>
          <w:lang w:val="en-US" w:eastAsia="zh-CN"/>
        </w:rPr>
        <w:tab/>
      </w:r>
      <w:r>
        <w:rPr>
          <w:rFonts w:asciiTheme="minorHAnsi" w:hAnsiTheme="minorHAnsi" w:hint="eastAsia"/>
          <w:lang w:val="en-US" w:eastAsia="zh-CN"/>
        </w:rPr>
        <w:t>In UC4, Typical sequence 3, "The [service] (checks that the route is valid according to the schema)" should be refined to [route crosscheck service];</w:t>
      </w:r>
    </w:p>
    <w:p w14:paraId="1DA19AA1"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d. </w:t>
      </w:r>
      <w:r>
        <w:rPr>
          <w:rFonts w:asciiTheme="minorHAnsi" w:hAnsiTheme="minorHAnsi" w:hint="eastAsia"/>
          <w:lang w:val="en-US" w:eastAsia="zh-CN"/>
        </w:rPr>
        <w:tab/>
      </w:r>
      <w:r>
        <w:rPr>
          <w:rFonts w:asciiTheme="minorHAnsi" w:hAnsiTheme="minorHAnsi" w:hint="eastAsia"/>
          <w:lang w:val="en-US" w:eastAsia="zh-CN"/>
        </w:rPr>
        <w:t>In UC11, Typical sequence 2, both instances of "The [service] (checks that the route is valid according to the schema)" should be refined to [route crosscheck service];</w:t>
      </w:r>
    </w:p>
    <w:p w14:paraId="1DA19AA2"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lastRenderedPageBreak/>
        <w:t>e. In UC12, Typical sequence 3, both instances of "The [service] (checks that the route is valid according to the schema)" should be refined to [route crosscheck service]. In Typical sequence 4, "The [service] (delivers the route to VTS system and sends acknowledgment to ship systems that route has been delivered to VTS system)" should be refined to [route exchange service];</w:t>
      </w:r>
    </w:p>
    <w:p w14:paraId="1DA19AA3"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f. </w:t>
      </w:r>
      <w:r>
        <w:rPr>
          <w:rFonts w:asciiTheme="minorHAnsi" w:hAnsiTheme="minorHAnsi" w:hint="eastAsia"/>
          <w:lang w:val="en-US" w:eastAsia="zh-CN"/>
        </w:rPr>
        <w:tab/>
      </w:r>
      <w:r>
        <w:rPr>
          <w:rFonts w:asciiTheme="minorHAnsi" w:hAnsiTheme="minorHAnsi" w:hint="eastAsia"/>
          <w:lang w:val="en-US" w:eastAsia="zh-CN"/>
        </w:rPr>
        <w:t>UC11 should add a reference to the [route exchange service];</w:t>
      </w:r>
    </w:p>
    <w:p w14:paraId="1DA19AA4"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g. </w:t>
      </w:r>
      <w:r>
        <w:rPr>
          <w:rFonts w:asciiTheme="minorHAnsi" w:hAnsiTheme="minorHAnsi" w:hint="eastAsia"/>
          <w:lang w:val="en-US" w:eastAsia="zh-CN"/>
        </w:rPr>
        <w:tab/>
      </w:r>
      <w:r>
        <w:rPr>
          <w:rFonts w:asciiTheme="minorHAnsi" w:hAnsiTheme="minorHAnsi" w:hint="eastAsia"/>
          <w:lang w:val="en-US" w:eastAsia="zh-CN"/>
        </w:rPr>
        <w:t>UC13 should add a reference to the [route monitoring service];</w:t>
      </w:r>
    </w:p>
    <w:p w14:paraId="1DA19AA5"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h. </w:t>
      </w:r>
      <w:r>
        <w:rPr>
          <w:rFonts w:asciiTheme="minorHAnsi" w:hAnsiTheme="minorHAnsi" w:hint="eastAsia"/>
          <w:lang w:val="en-US" w:eastAsia="zh-CN"/>
        </w:rPr>
        <w:tab/>
      </w:r>
      <w:r>
        <w:rPr>
          <w:rFonts w:asciiTheme="minorHAnsi" w:hAnsiTheme="minorHAnsi" w:hint="eastAsia"/>
          <w:lang w:val="en-US" w:eastAsia="zh-CN"/>
        </w:rPr>
        <w:t>UC13 should add a reference to the [route reference service].</w:t>
      </w:r>
    </w:p>
    <w:p w14:paraId="1DA19AA6" w14:textId="77777777" w:rsidR="00CE27FB" w:rsidRDefault="00D14737">
      <w:pPr>
        <w:pStyle w:val="Heading2"/>
        <w:rPr>
          <w:lang w:val="en-US" w:eastAsia="zh-CN"/>
        </w:rPr>
      </w:pPr>
      <w:r>
        <w:rPr>
          <w:lang w:eastAsia="zh-CN"/>
        </w:rPr>
        <w:t>Proposals on</w:t>
      </w:r>
      <w:r>
        <w:rPr>
          <w:lang w:val="en-US" w:eastAsia="zh-CN"/>
        </w:rPr>
        <w:t xml:space="preserve"> </w:t>
      </w:r>
      <w:r>
        <w:rPr>
          <w:rFonts w:hint="eastAsia"/>
          <w:lang w:val="en-US" w:eastAsia="zh-CN"/>
        </w:rPr>
        <w:t>updating functional and non-functional requirements</w:t>
      </w:r>
    </w:p>
    <w:p w14:paraId="1DA19AA7" w14:textId="77777777" w:rsidR="00CE27FB" w:rsidRDefault="00D14737">
      <w:pPr>
        <w:pStyle w:val="BodyText"/>
        <w:rPr>
          <w:rFonts w:ascii="Calibri" w:hAnsi="Calibri"/>
          <w:sz w:val="24"/>
          <w:szCs w:val="24"/>
          <w:lang w:val="en-US" w:eastAsia="zh-CN"/>
        </w:rPr>
      </w:pPr>
      <w:r>
        <w:rPr>
          <w:rFonts w:ascii="Calibri" w:hAnsi="Calibri"/>
          <w:sz w:val="24"/>
          <w:szCs w:val="24"/>
          <w:lang w:val="en-US" w:eastAsia="zh-CN"/>
        </w:rPr>
        <w:t>3.3.1 Update functional requirements</w:t>
      </w:r>
    </w:p>
    <w:p w14:paraId="1DA19AA8" w14:textId="77777777" w:rsidR="00CE27FB" w:rsidRDefault="00D14737">
      <w:pPr>
        <w:pStyle w:val="BodyText"/>
        <w:rPr>
          <w:rFonts w:ascii="Calibri" w:hAnsi="Calibri"/>
          <w:lang w:val="en-US" w:eastAsia="zh-CN"/>
        </w:rPr>
      </w:pPr>
      <w:r>
        <w:rPr>
          <w:rFonts w:ascii="Calibri" w:hAnsi="Calibri" w:hint="eastAsia"/>
          <w:lang w:val="en-US" w:eastAsia="zh-CN"/>
        </w:rPr>
        <w:t>With reference to UKCDSF007 and UKCDSF013 from the VTS UKC Service Specification Edition 1.0 adopted at VTS59 in April 2026, two new functional requirements are proposed: "route exchange service details must be published in service registry for service discovery" and "UTC timestamps information exchanged".</w:t>
      </w:r>
    </w:p>
    <w:p w14:paraId="1DA19AA9" w14:textId="77777777" w:rsidR="00CE27FB" w:rsidRDefault="00D14737">
      <w:pPr>
        <w:pStyle w:val="BodyText"/>
        <w:rPr>
          <w:rFonts w:ascii="Calibri" w:hAnsi="Calibri"/>
          <w:sz w:val="24"/>
          <w:szCs w:val="24"/>
          <w:lang w:val="en-US" w:eastAsia="zh-CN"/>
        </w:rPr>
      </w:pPr>
      <w:r>
        <w:rPr>
          <w:rFonts w:ascii="Calibri" w:hAnsi="Calibri" w:hint="eastAsia"/>
          <w:sz w:val="24"/>
          <w:szCs w:val="24"/>
          <w:lang w:val="en-US" w:eastAsia="zh-CN"/>
        </w:rPr>
        <w:t>3.3.2 Update non-functional requirements</w:t>
      </w:r>
    </w:p>
    <w:p w14:paraId="1DA19AAA" w14:textId="77777777" w:rsidR="00CE27FB" w:rsidRDefault="00D14737">
      <w:pPr>
        <w:pStyle w:val="BodyText"/>
        <w:rPr>
          <w:rFonts w:ascii="Calibri" w:hAnsi="Calibri"/>
          <w:lang w:val="en-US" w:eastAsia="zh-CN"/>
        </w:rPr>
      </w:pPr>
      <w:r>
        <w:rPr>
          <w:rFonts w:ascii="Calibri" w:hAnsi="Calibri" w:hint="eastAsia"/>
          <w:lang w:val="en-US" w:eastAsia="zh-CN"/>
        </w:rPr>
        <w:t xml:space="preserve">With reference to UKCDSNF004 from the VTS UKC Service Specification Edition 1.0, a new non-functional requirement "Throttling -- rate limitations" is proposed. </w:t>
      </w:r>
    </w:p>
    <w:p w14:paraId="1DA19AAB" w14:textId="77777777" w:rsidR="00CE27FB" w:rsidRDefault="00D14737">
      <w:pPr>
        <w:pStyle w:val="BodyText"/>
        <w:rPr>
          <w:rFonts w:ascii="Calibri" w:hAnsi="Calibri"/>
          <w:lang w:val="en-US" w:eastAsia="zh-CN"/>
        </w:rPr>
      </w:pPr>
      <w:r>
        <w:rPr>
          <w:rFonts w:ascii="Calibri" w:hAnsi="Calibri" w:hint="eastAsia"/>
          <w:lang w:val="en-US" w:eastAsia="zh-CN"/>
        </w:rPr>
        <w:t>Additionally, the Requirement ID  "TCSNF001~004 " should be renamed to RESNF001~004.</w:t>
      </w:r>
    </w:p>
    <w:p w14:paraId="1DA19AAC" w14:textId="77777777" w:rsidR="00CE27FB" w:rsidRDefault="00D14737">
      <w:pPr>
        <w:pStyle w:val="Heading2"/>
        <w:rPr>
          <w:lang w:val="en-US" w:eastAsia="zh-CN"/>
        </w:rPr>
      </w:pPr>
      <w:r>
        <w:rPr>
          <w:rFonts w:hint="eastAsia"/>
          <w:lang w:val="en-US" w:eastAsia="zh-CN"/>
        </w:rPr>
        <w:t>Proposals on changes to key terms</w:t>
      </w:r>
    </w:p>
    <w:p w14:paraId="1DA19AAD" w14:textId="77777777" w:rsidR="00CE27FB" w:rsidRDefault="00D14737">
      <w:pPr>
        <w:pStyle w:val="BodyText"/>
        <w:rPr>
          <w:rFonts w:ascii="Calibri" w:hAnsi="Calibri"/>
          <w:sz w:val="24"/>
          <w:szCs w:val="24"/>
          <w:lang w:val="en-US" w:eastAsia="zh-CN"/>
        </w:rPr>
      </w:pPr>
      <w:r>
        <w:rPr>
          <w:rFonts w:ascii="Calibri" w:hAnsi="Calibri" w:hint="eastAsia"/>
          <w:sz w:val="24"/>
          <w:szCs w:val="24"/>
          <w:lang w:val="en-US" w:eastAsia="zh-CN"/>
        </w:rPr>
        <w:t>3.4.1 Replace "Mariner" with "OOW"</w:t>
      </w:r>
    </w:p>
    <w:p w14:paraId="1DA19AAE" w14:textId="77777777" w:rsidR="00CE27FB" w:rsidRDefault="00D14737">
      <w:pPr>
        <w:pStyle w:val="BodyText"/>
        <w:rPr>
          <w:rFonts w:ascii="Calibri" w:hAnsi="Calibri"/>
          <w:lang w:val="en-US" w:eastAsia="zh-CN"/>
        </w:rPr>
      </w:pPr>
      <w:r>
        <w:rPr>
          <w:rFonts w:ascii="Calibri" w:hAnsi="Calibri" w:hint="eastAsia"/>
          <w:lang w:val="en-US" w:eastAsia="zh-CN"/>
        </w:rPr>
        <w:t>The "Mariner" node is proposed in Operational nodes, with the definition "means a person who is part of the bridge team [that is responsible for the navigation of the vessel]". "Mariner" appears repeatedly up to 25 times in this specification. Considering that:</w:t>
      </w:r>
    </w:p>
    <w:p w14:paraId="1DA19AAF"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a.</w:t>
      </w:r>
      <w:r>
        <w:rPr>
          <w:rFonts w:asciiTheme="minorHAnsi" w:hAnsiTheme="minorHAnsi" w:hint="eastAsia"/>
          <w:lang w:val="en-US" w:eastAsia="zh-CN"/>
        </w:rPr>
        <w:tab/>
      </w:r>
      <w:r>
        <w:rPr>
          <w:rFonts w:asciiTheme="minorHAnsi" w:hAnsiTheme="minorHAnsi" w:hint="eastAsia"/>
          <w:lang w:val="en-US" w:eastAsia="zh-CN"/>
        </w:rPr>
        <w:t>The IMO Performance Standards for Bridge Navigational Watch Alarm System (BNWAS) (Resolution MSC.128(75)) defines OOW in the appendix ("The Officer of the Watch (OOW) is the officer responsible for the navigational watch on the bridge"), and this definition is cited by the STCW Code (A-VIII/2) and other official documents such as the "Principles and operational guidance for officers in charge of a navigational watch in port" (IMO Assembly Resolution A.337(IX));</w:t>
      </w:r>
    </w:p>
    <w:p w14:paraId="1DA19AB0"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b. </w:t>
      </w:r>
      <w:r>
        <w:rPr>
          <w:rFonts w:asciiTheme="minorHAnsi" w:hAnsiTheme="minorHAnsi" w:hint="eastAsia"/>
          <w:lang w:val="en-US" w:eastAsia="zh-CN"/>
        </w:rPr>
        <w:tab/>
      </w:r>
      <w:r>
        <w:rPr>
          <w:rFonts w:asciiTheme="minorHAnsi" w:hAnsiTheme="minorHAnsi" w:hint="eastAsia"/>
          <w:lang w:val="en-US" w:eastAsia="zh-CN"/>
        </w:rPr>
        <w:t xml:space="preserve">Paragraph 14 of the </w:t>
      </w:r>
      <w:r>
        <w:rPr>
          <w:rFonts w:ascii="Calibri" w:hAnsi="Calibri" w:hint="eastAsia"/>
          <w:lang w:val="en-US" w:eastAsia="zh-CN"/>
        </w:rPr>
        <w:t>Operational Guidance for Route Exchange</w:t>
      </w:r>
      <w:r>
        <w:rPr>
          <w:rFonts w:asciiTheme="minorHAnsi" w:hAnsiTheme="minorHAnsi" w:hint="eastAsia"/>
          <w:lang w:val="en-US" w:eastAsia="zh-CN"/>
        </w:rPr>
        <w:t xml:space="preserve"> approved by NCSR13 clearly states that in the route exchange scenario, the OOW is responsible for receiving, reviewing, and confirming route suggestions sent from shore, while ensuring that the safe conduct of the navigational watch is not compromised ("The OOW should not be expected to validate an incoming route if doing so would detract from the safe conduct of the navigational watch.");</w:t>
      </w:r>
    </w:p>
    <w:p w14:paraId="1DA19AB1"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hint="eastAsia"/>
          <w:lang w:val="en-US" w:eastAsia="zh-CN"/>
        </w:rPr>
        <w:t xml:space="preserve">c. </w:t>
      </w:r>
      <w:r>
        <w:rPr>
          <w:rFonts w:asciiTheme="minorHAnsi" w:hAnsiTheme="minorHAnsi" w:hint="eastAsia"/>
          <w:lang w:val="en-US" w:eastAsia="zh-CN"/>
        </w:rPr>
        <w:tab/>
      </w:r>
      <w:r>
        <w:rPr>
          <w:rFonts w:asciiTheme="minorHAnsi" w:hAnsiTheme="minorHAnsi" w:hint="eastAsia"/>
          <w:lang w:val="en-US" w:eastAsia="zh-CN"/>
        </w:rPr>
        <w:t xml:space="preserve">In scenarios involving navigational safety responsibilities, IMO instruments never use the term </w:t>
      </w:r>
      <w:r>
        <w:rPr>
          <w:rFonts w:asciiTheme="minorHAnsi" w:hAnsiTheme="minorHAnsi" w:hint="eastAsia"/>
          <w:lang w:val="en-US" w:eastAsia="zh-CN"/>
        </w:rPr>
        <w:t>“</w:t>
      </w:r>
      <w:r>
        <w:rPr>
          <w:rFonts w:asciiTheme="minorHAnsi" w:hAnsiTheme="minorHAnsi" w:hint="eastAsia"/>
          <w:lang w:val="en-US" w:eastAsia="zh-CN"/>
        </w:rPr>
        <w:t>mariner</w:t>
      </w:r>
      <w:r>
        <w:rPr>
          <w:rFonts w:asciiTheme="minorHAnsi" w:hAnsiTheme="minorHAnsi" w:hint="eastAsia"/>
          <w:lang w:val="en-US" w:eastAsia="zh-CN"/>
        </w:rPr>
        <w:t>”</w:t>
      </w:r>
      <w:r>
        <w:rPr>
          <w:rFonts w:asciiTheme="minorHAnsi" w:hAnsiTheme="minorHAnsi" w:hint="eastAsia"/>
          <w:lang w:val="en-US" w:eastAsia="zh-CN"/>
        </w:rPr>
        <w:t xml:space="preserve"> to describe personnel with statutory duties. Replacing it with </w:t>
      </w:r>
      <w:r>
        <w:rPr>
          <w:rFonts w:asciiTheme="minorHAnsi" w:hAnsiTheme="minorHAnsi" w:hint="eastAsia"/>
          <w:lang w:val="en-US" w:eastAsia="zh-CN"/>
        </w:rPr>
        <w:t>“</w:t>
      </w:r>
      <w:r>
        <w:rPr>
          <w:rFonts w:asciiTheme="minorHAnsi" w:hAnsiTheme="minorHAnsi" w:hint="eastAsia"/>
          <w:lang w:val="en-US" w:eastAsia="zh-CN"/>
        </w:rPr>
        <w:t>OOW</w:t>
      </w:r>
      <w:r>
        <w:rPr>
          <w:rFonts w:asciiTheme="minorHAnsi" w:hAnsiTheme="minorHAnsi" w:hint="eastAsia"/>
          <w:lang w:val="en-US" w:eastAsia="zh-CN"/>
        </w:rPr>
        <w:t>”</w:t>
      </w:r>
      <w:r>
        <w:rPr>
          <w:rFonts w:asciiTheme="minorHAnsi" w:hAnsiTheme="minorHAnsi" w:hint="eastAsia"/>
          <w:lang w:val="en-US" w:eastAsia="zh-CN"/>
        </w:rPr>
        <w:t xml:space="preserve"> clearly defines the attribution of responsibilities and aligns with the legal context of STCW and IMO resolutions. </w:t>
      </w:r>
    </w:p>
    <w:p w14:paraId="1DA19AB2" w14:textId="77777777" w:rsidR="00CE27FB" w:rsidRDefault="00D14737">
      <w:pPr>
        <w:pStyle w:val="BodyText"/>
        <w:rPr>
          <w:rFonts w:ascii="Calibri" w:hAnsi="Calibri"/>
          <w:lang w:val="en-US" w:eastAsia="zh-CN"/>
        </w:rPr>
      </w:pPr>
      <w:r>
        <w:rPr>
          <w:rFonts w:ascii="Calibri" w:hAnsi="Calibri"/>
          <w:lang w:val="en-US" w:eastAsia="zh-CN"/>
        </w:rPr>
        <w:t>In summary, it is suggested to replace the "Mariner" node in 3.4.2 Operational nodes with "Officer of the Watch (OOW)", updating it to the authoritative IMO definition mentioned above, and change all 25 instances of "Mariner" in this specification to "OOW", including updating Figures 1, 2, 4, 5, 6, 7, 8, 9, 10, 11, 12, 13, 15 and Table 1, among others.</w:t>
      </w:r>
    </w:p>
    <w:p w14:paraId="1DA19AB3" w14:textId="77777777" w:rsidR="00CE27FB" w:rsidRDefault="00D14737">
      <w:pPr>
        <w:pStyle w:val="BodyText"/>
        <w:rPr>
          <w:rFonts w:ascii="Calibri" w:hAnsi="Calibri"/>
          <w:sz w:val="24"/>
          <w:szCs w:val="24"/>
          <w:lang w:val="en-US" w:eastAsia="zh-CN"/>
        </w:rPr>
      </w:pPr>
      <w:r>
        <w:rPr>
          <w:rFonts w:ascii="Calibri" w:hAnsi="Calibri"/>
          <w:sz w:val="24"/>
          <w:szCs w:val="24"/>
          <w:lang w:val="en-US" w:eastAsia="zh-CN"/>
        </w:rPr>
        <w:t>3.4.2 Replace "VTSO / VTS Operator" with "VTS Personnel"</w:t>
      </w:r>
    </w:p>
    <w:p w14:paraId="1DA19AB4" w14:textId="77777777" w:rsidR="00CE27FB" w:rsidRDefault="00D14737">
      <w:pPr>
        <w:pStyle w:val="BodyText"/>
        <w:rPr>
          <w:rFonts w:ascii="Calibri" w:hAnsi="Calibri"/>
          <w:lang w:val="en-US" w:eastAsia="zh-CN"/>
        </w:rPr>
      </w:pPr>
      <w:r>
        <w:rPr>
          <w:rFonts w:ascii="Calibri" w:hAnsi="Calibri"/>
          <w:lang w:val="en-US" w:eastAsia="zh-CN"/>
        </w:rPr>
        <w:t>The "VTS operator" node is proposed in Operational nodes</w:t>
      </w:r>
      <w:r>
        <w:rPr>
          <w:rFonts w:ascii="Calibri" w:hAnsi="Calibri" w:hint="eastAsia"/>
          <w:lang w:val="en-US" w:eastAsia="zh-CN"/>
        </w:rPr>
        <w:t xml:space="preserve">. </w:t>
      </w:r>
      <w:r>
        <w:rPr>
          <w:rFonts w:ascii="Calibri" w:hAnsi="Calibri"/>
          <w:lang w:val="en-US" w:eastAsia="zh-CN"/>
        </w:rPr>
        <w:t>Yet, this specification repeatedly uses "VTS Personnel" up to 27 times</w:t>
      </w:r>
      <w:r>
        <w:rPr>
          <w:rFonts w:ascii="Calibri" w:hAnsi="Calibri" w:hint="eastAsia"/>
          <w:lang w:val="en-US" w:eastAsia="zh-CN"/>
        </w:rPr>
        <w:t>,</w:t>
      </w:r>
      <w:r>
        <w:rPr>
          <w:rFonts w:ascii="Calibri" w:hAnsi="Calibri"/>
          <w:lang w:val="en-US" w:eastAsia="zh-CN"/>
        </w:rPr>
        <w:t xml:space="preserve"> with the definition "The personnel of the VTS centre, means persons performing tasks associated with vessel traffic services, trained in vessel traffic services operations and appropriately qualified". Considering that:</w:t>
      </w:r>
    </w:p>
    <w:p w14:paraId="1DA19AB5"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lang w:val="en-US" w:eastAsia="zh-CN"/>
        </w:rPr>
        <w:t xml:space="preserve">a. </w:t>
      </w:r>
      <w:r>
        <w:rPr>
          <w:rFonts w:asciiTheme="minorHAnsi" w:hAnsiTheme="minorHAnsi" w:hint="eastAsia"/>
          <w:lang w:val="en-US" w:eastAsia="zh-CN"/>
        </w:rPr>
        <w:tab/>
      </w:r>
      <w:r>
        <w:rPr>
          <w:rFonts w:asciiTheme="minorHAnsi" w:hAnsiTheme="minorHAnsi"/>
          <w:lang w:val="en-US" w:eastAsia="zh-CN"/>
        </w:rPr>
        <w:t>The official definitions in IMO Resolution A.1158(32) and the IALA Dictionary are both "VTS Personnel", not "VTS operator";</w:t>
      </w:r>
    </w:p>
    <w:p w14:paraId="1DA19AB6"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lang w:val="en-US" w:eastAsia="zh-CN"/>
        </w:rPr>
        <w:lastRenderedPageBreak/>
        <w:t xml:space="preserve">b. </w:t>
      </w:r>
      <w:r>
        <w:rPr>
          <w:rFonts w:asciiTheme="minorHAnsi" w:hAnsiTheme="minorHAnsi" w:hint="eastAsia"/>
          <w:lang w:val="en-US" w:eastAsia="zh-CN"/>
        </w:rPr>
        <w:tab/>
      </w:r>
      <w:r>
        <w:rPr>
          <w:rFonts w:asciiTheme="minorHAnsi" w:hAnsiTheme="minorHAnsi"/>
          <w:lang w:val="en-US" w:eastAsia="zh-CN"/>
        </w:rPr>
        <w:t>"VTSO</w:t>
      </w:r>
      <w:r>
        <w:rPr>
          <w:rFonts w:asciiTheme="minorHAnsi" w:hAnsiTheme="minorHAnsi" w:hint="eastAsia"/>
          <w:lang w:val="en-US" w:eastAsia="zh-CN"/>
        </w:rPr>
        <w:t>/</w:t>
      </w:r>
      <w:r>
        <w:rPr>
          <w:rFonts w:asciiTheme="minorHAnsi" w:hAnsiTheme="minorHAnsi"/>
          <w:lang w:val="en-US" w:eastAsia="zh-CN"/>
        </w:rPr>
        <w:t>VTS</w:t>
      </w:r>
      <w:r>
        <w:rPr>
          <w:rFonts w:asciiTheme="minorHAnsi" w:hAnsiTheme="minorHAnsi" w:hint="eastAsia"/>
          <w:lang w:val="en-US" w:eastAsia="zh-CN"/>
        </w:rPr>
        <w:t xml:space="preserve"> </w:t>
      </w:r>
      <w:r>
        <w:rPr>
          <w:rFonts w:asciiTheme="minorHAnsi" w:hAnsiTheme="minorHAnsi"/>
          <w:lang w:val="en-US" w:eastAsia="zh-CN"/>
        </w:rPr>
        <w:t>Operator" narrowly refers to "VTS personnel performing operational tasks", whereas "VTS Personnel" covers multiple roles such as Operator, Supervisor, Manager, etc. In context, "VTS Personnel" is more appropriate for this specification.</w:t>
      </w:r>
    </w:p>
    <w:p w14:paraId="1DA19AB7" w14:textId="77777777" w:rsidR="00CE27FB" w:rsidRDefault="00D14737">
      <w:pPr>
        <w:pStyle w:val="BodyText"/>
        <w:rPr>
          <w:rFonts w:ascii="Calibri" w:hAnsi="Calibri"/>
          <w:lang w:val="en-US" w:eastAsia="zh-CN"/>
        </w:rPr>
      </w:pPr>
      <w:r>
        <w:rPr>
          <w:rFonts w:ascii="Calibri" w:hAnsi="Calibri" w:hint="eastAsia"/>
          <w:lang w:val="en-US" w:eastAsia="zh-CN"/>
        </w:rPr>
        <w:t>I</w:t>
      </w:r>
      <w:r>
        <w:rPr>
          <w:rFonts w:ascii="Calibri" w:hAnsi="Calibri"/>
          <w:lang w:val="en-US" w:eastAsia="zh-CN"/>
        </w:rPr>
        <w:t>t is suggested to replace the "VTSO</w:t>
      </w:r>
      <w:r>
        <w:rPr>
          <w:rFonts w:ascii="Calibri" w:hAnsi="Calibri" w:hint="eastAsia"/>
          <w:lang w:val="en-US" w:eastAsia="zh-CN"/>
        </w:rPr>
        <w:t>/</w:t>
      </w:r>
      <w:r>
        <w:rPr>
          <w:rFonts w:ascii="Calibri" w:hAnsi="Calibri"/>
          <w:lang w:val="en-US" w:eastAsia="zh-CN"/>
        </w:rPr>
        <w:t>VTS Operator" node in 3.4.2 Operational nodes with "VTS Personnel". The definition can remain unchanged. It is also suggested to delete "VTSO VTS Operator" from Section 8 Abbreviations.</w:t>
      </w:r>
    </w:p>
    <w:p w14:paraId="1DA19AB8" w14:textId="77777777" w:rsidR="00CE27FB" w:rsidRDefault="00D14737">
      <w:pPr>
        <w:pStyle w:val="BodyText"/>
        <w:rPr>
          <w:rFonts w:ascii="Calibri" w:hAnsi="Calibri"/>
          <w:sz w:val="24"/>
          <w:szCs w:val="24"/>
          <w:lang w:val="en-US" w:eastAsia="zh-CN"/>
        </w:rPr>
      </w:pPr>
      <w:r>
        <w:rPr>
          <w:rFonts w:ascii="Calibri" w:hAnsi="Calibri"/>
          <w:sz w:val="24"/>
          <w:szCs w:val="24"/>
          <w:lang w:val="en-US" w:eastAsia="zh-CN"/>
        </w:rPr>
        <w:t>3.4.3 Replace "Ship system(s)", "on-board system(s)", "end user system(s)" with "ECDIS"</w:t>
      </w:r>
    </w:p>
    <w:p w14:paraId="1DA19AB9" w14:textId="77777777" w:rsidR="00CE27FB" w:rsidRDefault="00D14737">
      <w:pPr>
        <w:pStyle w:val="BodyText"/>
        <w:rPr>
          <w:rFonts w:ascii="Calibri" w:hAnsi="Calibri"/>
          <w:lang w:val="en-US" w:eastAsia="zh-CN"/>
        </w:rPr>
      </w:pPr>
      <w:r>
        <w:rPr>
          <w:rFonts w:ascii="Calibri" w:hAnsi="Calibri"/>
          <w:lang w:val="en-US" w:eastAsia="zh-CN"/>
        </w:rPr>
        <w:t>This specification contains dozens of instances where terms like "Ship system(s)", "on-board system(s)", "end user system(s)" are used interchangeably with "ECDIS". Considering that:</w:t>
      </w:r>
    </w:p>
    <w:p w14:paraId="1DA19ABA"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lang w:val="en-US" w:eastAsia="zh-CN"/>
        </w:rPr>
        <w:t xml:space="preserve">a. </w:t>
      </w:r>
      <w:r>
        <w:rPr>
          <w:rFonts w:asciiTheme="minorHAnsi" w:hAnsiTheme="minorHAnsi" w:hint="eastAsia"/>
          <w:lang w:val="en-US" w:eastAsia="zh-CN"/>
        </w:rPr>
        <w:tab/>
      </w:r>
      <w:r>
        <w:rPr>
          <w:rFonts w:asciiTheme="minorHAnsi" w:hAnsiTheme="minorHAnsi"/>
          <w:lang w:val="en-US" w:eastAsia="zh-CN"/>
        </w:rPr>
        <w:t>The ECDIS Performance Standards amendment (MSC.530(106)/Rev.1</w:t>
      </w:r>
      <w:r>
        <w:rPr>
          <w:rFonts w:asciiTheme="minorHAnsi" w:hAnsiTheme="minorHAnsi" w:hint="eastAsia"/>
          <w:lang w:val="en-US" w:eastAsia="zh-CN"/>
        </w:rPr>
        <w:t xml:space="preserve"> </w:t>
      </w:r>
      <w:r>
        <w:rPr>
          <w:rFonts w:asciiTheme="minorHAnsi" w:hAnsiTheme="minorHAnsi"/>
          <w:lang w:val="en-US" w:eastAsia="zh-CN"/>
        </w:rPr>
        <w:t>11.3.4), approved for release by MSC108 in 2024, already supports ECDIS-based ship-shore route exchange</w:t>
      </w:r>
      <w:r>
        <w:rPr>
          <w:rFonts w:asciiTheme="minorHAnsi" w:hAnsiTheme="minorHAnsi" w:hint="eastAsia"/>
          <w:lang w:val="en-US" w:eastAsia="zh-CN"/>
        </w:rPr>
        <w:t>;</w:t>
      </w:r>
      <w:r>
        <w:rPr>
          <w:rFonts w:asciiTheme="minorHAnsi" w:hAnsiTheme="minorHAnsi"/>
          <w:lang w:val="en-US" w:eastAsia="zh-CN"/>
        </w:rPr>
        <w:t xml:space="preserve"> </w:t>
      </w:r>
    </w:p>
    <w:p w14:paraId="1DA19ABB" w14:textId="77777777" w:rsidR="00CE27FB" w:rsidRDefault="00D14737">
      <w:pPr>
        <w:pStyle w:val="List1indent1"/>
        <w:numPr>
          <w:ilvl w:val="1"/>
          <w:numId w:val="0"/>
        </w:numPr>
        <w:tabs>
          <w:tab w:val="clear" w:pos="1135"/>
        </w:tabs>
        <w:spacing w:after="0"/>
        <w:ind w:leftChars="200" w:left="880" w:hangingChars="200" w:hanging="440"/>
        <w:rPr>
          <w:rFonts w:asciiTheme="minorHAnsi" w:hAnsiTheme="minorHAnsi"/>
          <w:lang w:val="en-US" w:eastAsia="zh-CN"/>
        </w:rPr>
      </w:pPr>
      <w:r>
        <w:rPr>
          <w:rFonts w:asciiTheme="minorHAnsi" w:hAnsiTheme="minorHAnsi"/>
          <w:lang w:val="en-US" w:eastAsia="zh-CN"/>
        </w:rPr>
        <w:t xml:space="preserve">b. </w:t>
      </w:r>
      <w:r>
        <w:rPr>
          <w:rFonts w:asciiTheme="minorHAnsi" w:hAnsiTheme="minorHAnsi" w:hint="eastAsia"/>
          <w:lang w:val="en-US" w:eastAsia="zh-CN"/>
        </w:rPr>
        <w:tab/>
      </w:r>
      <w:r>
        <w:rPr>
          <w:rFonts w:asciiTheme="minorHAnsi" w:hAnsiTheme="minorHAnsi"/>
          <w:lang w:val="en-US" w:eastAsia="zh-CN"/>
        </w:rPr>
        <w:t xml:space="preserve">The 1.3.1 VTS Digital Communications Task Group intersessional meeting working paper on USE CASES for VTS Digital Communications, updated on </w:t>
      </w:r>
      <w:r>
        <w:rPr>
          <w:rFonts w:asciiTheme="minorHAnsi" w:hAnsiTheme="minorHAnsi" w:hint="eastAsia"/>
          <w:lang w:val="en-US" w:eastAsia="zh-CN"/>
        </w:rPr>
        <w:t>8</w:t>
      </w:r>
      <w:r>
        <w:rPr>
          <w:rFonts w:asciiTheme="minorHAnsi" w:hAnsiTheme="minorHAnsi"/>
          <w:lang w:val="en-US" w:eastAsia="zh-CN"/>
        </w:rPr>
        <w:t xml:space="preserve"> Ju</w:t>
      </w:r>
      <w:r>
        <w:rPr>
          <w:rFonts w:asciiTheme="minorHAnsi" w:hAnsiTheme="minorHAnsi" w:hint="eastAsia"/>
          <w:lang w:val="en-US" w:eastAsia="zh-CN"/>
        </w:rPr>
        <w:t>ly</w:t>
      </w:r>
      <w:r>
        <w:rPr>
          <w:rFonts w:asciiTheme="minorHAnsi" w:hAnsiTheme="minorHAnsi"/>
          <w:lang w:val="en-US" w:eastAsia="zh-CN"/>
        </w:rPr>
        <w:t>, has updated all 9 use cases for route exchange to use "ECDIS" instead of terms like "Ship system(s)", "on-board system(s)", and "end user system(s)".</w:t>
      </w:r>
    </w:p>
    <w:p w14:paraId="1DA19ABC" w14:textId="77777777" w:rsidR="00CE27FB" w:rsidRDefault="00D14737">
      <w:pPr>
        <w:pStyle w:val="BodyText"/>
        <w:rPr>
          <w:rFonts w:ascii="Calibri" w:hAnsi="Calibri"/>
          <w:lang w:val="en-US" w:eastAsia="zh-CN"/>
        </w:rPr>
      </w:pPr>
      <w:r>
        <w:rPr>
          <w:rFonts w:ascii="Calibri" w:hAnsi="Calibri" w:hint="eastAsia"/>
          <w:lang w:val="en-US" w:eastAsia="zh-CN"/>
        </w:rPr>
        <w:t>I</w:t>
      </w:r>
      <w:r>
        <w:rPr>
          <w:rFonts w:ascii="Calibri" w:hAnsi="Calibri"/>
          <w:lang w:val="en-US" w:eastAsia="zh-CN"/>
        </w:rPr>
        <w:t>t is suggested to replace the dozens of "Ship system(s)", "on-board system(s)", and "end user system(s)" in this specification with "ECDIS", and update Figures 1, 2, 4, 5, 6, 7, 8, 9, 10, 11, 12, 13, 15, 16, etc., to align with the "ECDIS" used in Figure 14.</w:t>
      </w:r>
    </w:p>
    <w:p w14:paraId="1DA19ABD" w14:textId="77777777" w:rsidR="00CE27FB" w:rsidRDefault="00D14737">
      <w:pPr>
        <w:pStyle w:val="Heading1"/>
      </w:pPr>
      <w:r>
        <w:t>Action requested of the Committee</w:t>
      </w:r>
    </w:p>
    <w:p w14:paraId="1DA19ABE" w14:textId="77777777" w:rsidR="00CE27FB" w:rsidRDefault="00D14737">
      <w:pPr>
        <w:pStyle w:val="BodyText"/>
        <w:rPr>
          <w:rFonts w:ascii="Calibri" w:hAnsi="Calibri"/>
          <w:b/>
          <w:caps/>
          <w:color w:val="0070C0"/>
          <w:kern w:val="28"/>
          <w:sz w:val="24"/>
          <w:lang w:eastAsia="de-DE"/>
        </w:rPr>
      </w:pPr>
      <w:r>
        <w:rPr>
          <w:rFonts w:ascii="Calibri" w:hAnsi="Calibri"/>
          <w:lang w:val="en-US"/>
        </w:rPr>
        <w:t>The Committee is requested to consider the proposals in this document and take actions as appropriate.</w:t>
      </w:r>
    </w:p>
    <w:sectPr w:rsidR="00CE27FB">
      <w:headerReference w:type="even" r:id="rId11"/>
      <w:headerReference w:type="default" r:id="rId12"/>
      <w:footerReference w:type="default" r:id="rId13"/>
      <w:head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13880" w14:textId="77777777" w:rsidR="00D14737" w:rsidRDefault="00D14737">
      <w:r>
        <w:separator/>
      </w:r>
    </w:p>
  </w:endnote>
  <w:endnote w:type="continuationSeparator" w:id="0">
    <w:p w14:paraId="606C7189" w14:textId="77777777" w:rsidR="00D14737" w:rsidRDefault="00D1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9AC3" w14:textId="77777777" w:rsidR="00CE27FB" w:rsidRDefault="00D14737">
    <w:pPr>
      <w:pStyle w:val="Footer"/>
      <w:rPr>
        <w:rFonts w:ascii="Calibri" w:hAnsi="Calibri"/>
      </w:rPr>
    </w:pPr>
    <w:r>
      <w:rPr>
        <w:rFonts w:ascii="Calibri" w:hAnsi="Calibri"/>
        <w:sz w:val="20"/>
        <w:szCs w:val="20"/>
      </w:rPr>
      <w:t xml:space="preserve">Proposals on the “Service Specification for VTS - Vessel Route Exchange Edition </w:t>
    </w:r>
    <w:r>
      <w:rPr>
        <w:rFonts w:ascii="Calibri" w:hAnsi="Calibri" w:hint="eastAsia"/>
        <w:sz w:val="20"/>
        <w:szCs w:val="20"/>
        <w:lang w:val="en-US" w:eastAsia="zh-CN"/>
      </w:rPr>
      <w:t>1.0</w:t>
    </w:r>
    <w:r>
      <w:rPr>
        <w:rFonts w:ascii="Calibri" w:hAnsi="Calibri"/>
        <w:sz w:val="20"/>
        <w:szCs w:val="20"/>
      </w:rPr>
      <w:t>”</w:t>
    </w:r>
    <w:r>
      <w:rPr>
        <w:rFonts w:ascii="Calibri" w:hAnsi="Calibri"/>
      </w:rPr>
      <w:tab/>
    </w:r>
    <w:r>
      <w:rPr>
        <w:rFonts w:ascii="Calibri" w:hAnsi="Calibri"/>
      </w:rPr>
      <w:fldChar w:fldCharType="begin"/>
    </w:r>
    <w:r>
      <w:rPr>
        <w:rFonts w:ascii="Calibri" w:hAnsi="Calibri"/>
      </w:rPr>
      <w:instrText xml:space="preserve"> PAGE   \* MERGEFORMAT </w:instrText>
    </w:r>
    <w:r>
      <w:rPr>
        <w:rFonts w:ascii="Calibri" w:hAnsi="Calibri"/>
      </w:rPr>
      <w:fldChar w:fldCharType="separate"/>
    </w:r>
    <w:r>
      <w:rPr>
        <w:rFonts w:ascii="Calibri" w:hAnsi="Calibri"/>
      </w:rPr>
      <w:t>5</w:t>
    </w:r>
    <w:r>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57DCE" w14:textId="77777777" w:rsidR="00D14737" w:rsidRDefault="00D14737">
      <w:r>
        <w:separator/>
      </w:r>
    </w:p>
  </w:footnote>
  <w:footnote w:type="continuationSeparator" w:id="0">
    <w:p w14:paraId="2729B227" w14:textId="77777777" w:rsidR="00D14737" w:rsidRDefault="00D14737">
      <w:r>
        <w:continuationSeparator/>
      </w:r>
    </w:p>
  </w:footnote>
  <w:footnote w:id="1">
    <w:p w14:paraId="1DA19ACE" w14:textId="77777777" w:rsidR="00CE27FB" w:rsidRDefault="00D14737">
      <w:pPr>
        <w:pStyle w:val="FootnoteText"/>
        <w:rPr>
          <w:lang w:val="en-US"/>
        </w:rPr>
      </w:pPr>
      <w:r>
        <w:rPr>
          <w:rStyle w:val="FootnoteReference"/>
        </w:rPr>
        <w:footnoteRef/>
      </w:r>
      <w:r>
        <w:t xml:space="preserve"> </w:t>
      </w:r>
      <w:r>
        <w:rPr>
          <w:sz w:val="16"/>
          <w:szCs w:val="16"/>
        </w:rPr>
        <w:t>Input document number, to be assigned by the Committee Secretary</w:t>
      </w:r>
    </w:p>
  </w:footnote>
  <w:footnote w:id="2">
    <w:p w14:paraId="1DA19ACF" w14:textId="77777777" w:rsidR="00CE27FB" w:rsidRDefault="00D14737">
      <w:pPr>
        <w:pStyle w:val="FootnoteText"/>
      </w:pPr>
      <w:r>
        <w:rPr>
          <w:rStyle w:val="FootnoteReference"/>
        </w:rPr>
        <w:footnoteRef/>
      </w:r>
      <w:r>
        <w:t xml:space="preserve"> </w:t>
      </w:r>
      <w:r>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9AC1" w14:textId="77777777" w:rsidR="00CE27FB" w:rsidRDefault="00D14737">
    <w:pPr>
      <w:pStyle w:val="Header"/>
    </w:pPr>
    <w:r>
      <w:pict w14:anchorId="1DA19A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7" type="#_x0000_t136" style="position:absolute;margin-left:0;margin-top:0;width:623.85pt;height:65.65pt;rotation:315;z-index:-251656704;mso-position-horizontal:center;mso-position-horizontal-relative:margin;mso-position-vertical:center;mso-position-vertical-relative:margin;mso-width-relative:page;mso-height-relative:page" o:allowincell="f" fillcolor="silver" stroked="f">
          <v:fill opacity=".5"/>
          <v:textpath style="font-family:&quot;Arial&quot;;font-size:1pt" fitpath="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9AC2" w14:textId="1FE67FA3" w:rsidR="00CE27FB" w:rsidRDefault="00D14737">
    <w:pPr>
      <w:pStyle w:val="Header"/>
      <w:jc w:val="right"/>
    </w:pPr>
    <w:r>
      <w:rPr>
        <w:noProof/>
      </w:rPr>
      <w:drawing>
        <wp:anchor distT="0" distB="0" distL="114300" distR="114300" simplePos="0" relativeHeight="251655680" behindDoc="0" locked="0" layoutInCell="1" allowOverlap="1" wp14:anchorId="1DA19AC8" wp14:editId="1DA19AC9">
          <wp:simplePos x="0" y="0"/>
          <wp:positionH relativeFrom="column">
            <wp:posOffset>5447030</wp:posOffset>
          </wp:positionH>
          <wp:positionV relativeFrom="paragraph">
            <wp:posOffset>-427990</wp:posOffset>
          </wp:positionV>
          <wp:extent cx="574675" cy="560070"/>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9AC4" w14:textId="77777777" w:rsidR="00CE27FB" w:rsidRDefault="00D14737">
    <w:pPr>
      <w:pStyle w:val="Header"/>
      <w:jc w:val="center"/>
    </w:pPr>
    <w:r>
      <w:rPr>
        <w:noProof/>
      </w:rPr>
      <w:drawing>
        <wp:anchor distT="0" distB="0" distL="114300" distR="114300" simplePos="0" relativeHeight="251656704" behindDoc="0" locked="0" layoutInCell="1" allowOverlap="1" wp14:anchorId="1DA19ACB" wp14:editId="1DA19ACC">
          <wp:simplePos x="0" y="0"/>
          <wp:positionH relativeFrom="column">
            <wp:posOffset>2522855</wp:posOffset>
          </wp:positionH>
          <wp:positionV relativeFrom="paragraph">
            <wp:posOffset>-405130</wp:posOffset>
          </wp:positionV>
          <wp:extent cx="852805" cy="831215"/>
          <wp:effectExtent l="0" t="0" r="0" b="0"/>
          <wp:wrapSquare wrapText="bothSides"/>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1DA19AC5" w14:textId="77777777" w:rsidR="00CE27FB" w:rsidRDefault="00CE27FB">
    <w:pPr>
      <w:pStyle w:val="Header"/>
      <w:jc w:val="center"/>
    </w:pPr>
  </w:p>
  <w:p w14:paraId="1DA19AC6" w14:textId="739EBA1A" w:rsidR="00CE27FB" w:rsidRDefault="00CE27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C37E91"/>
    <w:multiLevelType w:val="multilevel"/>
    <w:tmpl w:val="19C37E91"/>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851"/>
        </w:tabs>
        <w:ind w:left="851" w:hanging="851"/>
      </w:pPr>
      <w:rPr>
        <w:rFonts w:hint="default"/>
      </w:rPr>
    </w:lvl>
    <w:lvl w:ilvl="2">
      <w:start w:val="1"/>
      <w:numFmt w:val="decimal"/>
      <w:pStyle w:val="Heading3"/>
      <w:lvlText w:val="%1.%2.%3"/>
      <w:lvlJc w:val="left"/>
      <w:pPr>
        <w:tabs>
          <w:tab w:val="left" w:pos="1985"/>
        </w:tabs>
        <w:ind w:left="1985"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E7E01D9"/>
    <w:multiLevelType w:val="multilevel"/>
    <w:tmpl w:val="1E7E01D9"/>
    <w:lvl w:ilvl="0">
      <w:start w:val="1"/>
      <w:numFmt w:val="decimal"/>
      <w:pStyle w:val="References"/>
      <w:lvlText w:val="[%1]"/>
      <w:lvlJc w:val="left"/>
      <w:pPr>
        <w:tabs>
          <w:tab w:val="left"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6"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5"/>
        </w:tabs>
        <w:ind w:left="1135"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0"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4"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53829192">
    <w:abstractNumId w:val="2"/>
  </w:num>
  <w:num w:numId="2" w16cid:durableId="2103522316">
    <w:abstractNumId w:val="12"/>
  </w:num>
  <w:num w:numId="3" w16cid:durableId="290287698">
    <w:abstractNumId w:val="8"/>
  </w:num>
  <w:num w:numId="4" w16cid:durableId="838274703">
    <w:abstractNumId w:val="1"/>
  </w:num>
  <w:num w:numId="5" w16cid:durableId="160901059">
    <w:abstractNumId w:val="14"/>
  </w:num>
  <w:num w:numId="6" w16cid:durableId="376316625">
    <w:abstractNumId w:val="10"/>
  </w:num>
  <w:num w:numId="7" w16cid:durableId="1088044312">
    <w:abstractNumId w:val="9"/>
  </w:num>
  <w:num w:numId="8" w16cid:durableId="1754156049">
    <w:abstractNumId w:val="7"/>
  </w:num>
  <w:num w:numId="9" w16cid:durableId="1503665647">
    <w:abstractNumId w:val="13"/>
  </w:num>
  <w:num w:numId="10" w16cid:durableId="1906721730">
    <w:abstractNumId w:val="6"/>
  </w:num>
  <w:num w:numId="11" w16cid:durableId="419564760">
    <w:abstractNumId w:val="11"/>
  </w:num>
  <w:num w:numId="12" w16cid:durableId="1509058690">
    <w:abstractNumId w:val="3"/>
  </w:num>
  <w:num w:numId="13" w16cid:durableId="739594401">
    <w:abstractNumId w:val="4"/>
  </w:num>
  <w:num w:numId="14" w16cid:durableId="503863703">
    <w:abstractNumId w:val="5"/>
  </w:num>
  <w:num w:numId="15" w16cid:durableId="1021323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5D3"/>
    <w:rsid w:val="000010B0"/>
    <w:rsid w:val="000049D8"/>
    <w:rsid w:val="00004ABF"/>
    <w:rsid w:val="0001070A"/>
    <w:rsid w:val="00036A03"/>
    <w:rsid w:val="00036B9E"/>
    <w:rsid w:val="00037DF4"/>
    <w:rsid w:val="0004700E"/>
    <w:rsid w:val="00070C13"/>
    <w:rsid w:val="000715C9"/>
    <w:rsid w:val="00084F33"/>
    <w:rsid w:val="0009644D"/>
    <w:rsid w:val="000A2309"/>
    <w:rsid w:val="000A77A7"/>
    <w:rsid w:val="000B1707"/>
    <w:rsid w:val="000C056A"/>
    <w:rsid w:val="000C1B3E"/>
    <w:rsid w:val="000C1BC1"/>
    <w:rsid w:val="000C349E"/>
    <w:rsid w:val="000D18B5"/>
    <w:rsid w:val="000D6612"/>
    <w:rsid w:val="000D7749"/>
    <w:rsid w:val="000E138F"/>
    <w:rsid w:val="000E7A89"/>
    <w:rsid w:val="000F2584"/>
    <w:rsid w:val="000F72BA"/>
    <w:rsid w:val="00110AE7"/>
    <w:rsid w:val="00110C3F"/>
    <w:rsid w:val="001217C5"/>
    <w:rsid w:val="0013396B"/>
    <w:rsid w:val="00146E5F"/>
    <w:rsid w:val="00147F5B"/>
    <w:rsid w:val="0015025F"/>
    <w:rsid w:val="00177F4D"/>
    <w:rsid w:val="00180DDA"/>
    <w:rsid w:val="0018209D"/>
    <w:rsid w:val="00184C8C"/>
    <w:rsid w:val="00195F4D"/>
    <w:rsid w:val="001B2A2D"/>
    <w:rsid w:val="001B737D"/>
    <w:rsid w:val="001C44A3"/>
    <w:rsid w:val="001D497E"/>
    <w:rsid w:val="001E0E15"/>
    <w:rsid w:val="001F528A"/>
    <w:rsid w:val="001F704E"/>
    <w:rsid w:val="00200241"/>
    <w:rsid w:val="00201722"/>
    <w:rsid w:val="002125B0"/>
    <w:rsid w:val="00215BC5"/>
    <w:rsid w:val="00230D88"/>
    <w:rsid w:val="00243228"/>
    <w:rsid w:val="00247C5E"/>
    <w:rsid w:val="00251483"/>
    <w:rsid w:val="00255CAA"/>
    <w:rsid w:val="00264305"/>
    <w:rsid w:val="0029706B"/>
    <w:rsid w:val="002A0346"/>
    <w:rsid w:val="002A4487"/>
    <w:rsid w:val="002B49E9"/>
    <w:rsid w:val="002C632E"/>
    <w:rsid w:val="002C71F9"/>
    <w:rsid w:val="002D3E8B"/>
    <w:rsid w:val="002D4575"/>
    <w:rsid w:val="002D48DC"/>
    <w:rsid w:val="002D5C0C"/>
    <w:rsid w:val="002E03D1"/>
    <w:rsid w:val="002E265B"/>
    <w:rsid w:val="002E6B74"/>
    <w:rsid w:val="002E6FCA"/>
    <w:rsid w:val="003039D6"/>
    <w:rsid w:val="00340193"/>
    <w:rsid w:val="00353BD7"/>
    <w:rsid w:val="00356CD0"/>
    <w:rsid w:val="00362CD9"/>
    <w:rsid w:val="003703A8"/>
    <w:rsid w:val="003761CA"/>
    <w:rsid w:val="00380DAF"/>
    <w:rsid w:val="003972CE"/>
    <w:rsid w:val="003B28F5"/>
    <w:rsid w:val="003B7B7D"/>
    <w:rsid w:val="003C2A77"/>
    <w:rsid w:val="003C4FF0"/>
    <w:rsid w:val="003C54CB"/>
    <w:rsid w:val="003C7A2A"/>
    <w:rsid w:val="003D2DC1"/>
    <w:rsid w:val="003D69D0"/>
    <w:rsid w:val="003F2918"/>
    <w:rsid w:val="003F430E"/>
    <w:rsid w:val="0041088C"/>
    <w:rsid w:val="00412DD0"/>
    <w:rsid w:val="0041482C"/>
    <w:rsid w:val="00420A38"/>
    <w:rsid w:val="00431B19"/>
    <w:rsid w:val="00432203"/>
    <w:rsid w:val="004373CC"/>
    <w:rsid w:val="00451E06"/>
    <w:rsid w:val="00453DC9"/>
    <w:rsid w:val="00461AE9"/>
    <w:rsid w:val="004661AD"/>
    <w:rsid w:val="00476D19"/>
    <w:rsid w:val="004A6C1D"/>
    <w:rsid w:val="004D1D85"/>
    <w:rsid w:val="004D3C3A"/>
    <w:rsid w:val="004E1CD1"/>
    <w:rsid w:val="004F7EFC"/>
    <w:rsid w:val="005053B5"/>
    <w:rsid w:val="005107EB"/>
    <w:rsid w:val="00521345"/>
    <w:rsid w:val="00526DF0"/>
    <w:rsid w:val="00545CC4"/>
    <w:rsid w:val="00551FFF"/>
    <w:rsid w:val="005607A2"/>
    <w:rsid w:val="0056675F"/>
    <w:rsid w:val="0057198B"/>
    <w:rsid w:val="00573CFE"/>
    <w:rsid w:val="00590E05"/>
    <w:rsid w:val="005969F2"/>
    <w:rsid w:val="00597995"/>
    <w:rsid w:val="00597FAE"/>
    <w:rsid w:val="005A361B"/>
    <w:rsid w:val="005B32A3"/>
    <w:rsid w:val="005B4762"/>
    <w:rsid w:val="005B4F43"/>
    <w:rsid w:val="005C0D44"/>
    <w:rsid w:val="005C566C"/>
    <w:rsid w:val="005C7E69"/>
    <w:rsid w:val="005E262D"/>
    <w:rsid w:val="005F23D3"/>
    <w:rsid w:val="005F7E20"/>
    <w:rsid w:val="00605E43"/>
    <w:rsid w:val="00610078"/>
    <w:rsid w:val="006153BB"/>
    <w:rsid w:val="00624475"/>
    <w:rsid w:val="00640417"/>
    <w:rsid w:val="006652C3"/>
    <w:rsid w:val="00670ADA"/>
    <w:rsid w:val="00691FD0"/>
    <w:rsid w:val="00692148"/>
    <w:rsid w:val="00694ADF"/>
    <w:rsid w:val="006A1A1E"/>
    <w:rsid w:val="006B18CE"/>
    <w:rsid w:val="006C5948"/>
    <w:rsid w:val="006F2A74"/>
    <w:rsid w:val="006F3FA2"/>
    <w:rsid w:val="006F784D"/>
    <w:rsid w:val="007000D4"/>
    <w:rsid w:val="007118F5"/>
    <w:rsid w:val="00712AA4"/>
    <w:rsid w:val="007146C4"/>
    <w:rsid w:val="00717593"/>
    <w:rsid w:val="00721AA1"/>
    <w:rsid w:val="00724B67"/>
    <w:rsid w:val="00744D1F"/>
    <w:rsid w:val="007547F8"/>
    <w:rsid w:val="00765622"/>
    <w:rsid w:val="00770B6C"/>
    <w:rsid w:val="00783FEA"/>
    <w:rsid w:val="007A0AEA"/>
    <w:rsid w:val="007A395D"/>
    <w:rsid w:val="007B066F"/>
    <w:rsid w:val="007B10E9"/>
    <w:rsid w:val="007B6BD5"/>
    <w:rsid w:val="007C1FAE"/>
    <w:rsid w:val="007C346C"/>
    <w:rsid w:val="007D0709"/>
    <w:rsid w:val="007E6479"/>
    <w:rsid w:val="007F48AD"/>
    <w:rsid w:val="007F63F6"/>
    <w:rsid w:val="0080294B"/>
    <w:rsid w:val="00806F19"/>
    <w:rsid w:val="0082480E"/>
    <w:rsid w:val="00832B2B"/>
    <w:rsid w:val="00845A56"/>
    <w:rsid w:val="00850293"/>
    <w:rsid w:val="00851373"/>
    <w:rsid w:val="008518A2"/>
    <w:rsid w:val="00851BA6"/>
    <w:rsid w:val="00853263"/>
    <w:rsid w:val="0085654D"/>
    <w:rsid w:val="00861160"/>
    <w:rsid w:val="0086654F"/>
    <w:rsid w:val="00874BD6"/>
    <w:rsid w:val="00885F1D"/>
    <w:rsid w:val="008A356F"/>
    <w:rsid w:val="008A4653"/>
    <w:rsid w:val="008A4717"/>
    <w:rsid w:val="008A50CC"/>
    <w:rsid w:val="008A6D99"/>
    <w:rsid w:val="008B3040"/>
    <w:rsid w:val="008C13F1"/>
    <w:rsid w:val="008C2899"/>
    <w:rsid w:val="008C2CD7"/>
    <w:rsid w:val="008C51F1"/>
    <w:rsid w:val="008C7C54"/>
    <w:rsid w:val="008D1694"/>
    <w:rsid w:val="008D73A5"/>
    <w:rsid w:val="008D79CB"/>
    <w:rsid w:val="008F07BC"/>
    <w:rsid w:val="008F7353"/>
    <w:rsid w:val="00904F3F"/>
    <w:rsid w:val="0092692B"/>
    <w:rsid w:val="00930561"/>
    <w:rsid w:val="00943E9C"/>
    <w:rsid w:val="00953F4D"/>
    <w:rsid w:val="00955871"/>
    <w:rsid w:val="0095705C"/>
    <w:rsid w:val="00960BB8"/>
    <w:rsid w:val="00964F5C"/>
    <w:rsid w:val="009709DA"/>
    <w:rsid w:val="00973B57"/>
    <w:rsid w:val="00975900"/>
    <w:rsid w:val="009831C0"/>
    <w:rsid w:val="00986372"/>
    <w:rsid w:val="0099161D"/>
    <w:rsid w:val="009957D6"/>
    <w:rsid w:val="009B137A"/>
    <w:rsid w:val="009C0CC7"/>
    <w:rsid w:val="009C2FE6"/>
    <w:rsid w:val="009D4B72"/>
    <w:rsid w:val="009E3C39"/>
    <w:rsid w:val="009F600E"/>
    <w:rsid w:val="00A0389B"/>
    <w:rsid w:val="00A23DD2"/>
    <w:rsid w:val="00A27C48"/>
    <w:rsid w:val="00A33A3C"/>
    <w:rsid w:val="00A366B6"/>
    <w:rsid w:val="00A446C9"/>
    <w:rsid w:val="00A635D6"/>
    <w:rsid w:val="00A64717"/>
    <w:rsid w:val="00A8553A"/>
    <w:rsid w:val="00A93AED"/>
    <w:rsid w:val="00AA658A"/>
    <w:rsid w:val="00AB5283"/>
    <w:rsid w:val="00AB5D3D"/>
    <w:rsid w:val="00AB6FBD"/>
    <w:rsid w:val="00AD507D"/>
    <w:rsid w:val="00AD6ADD"/>
    <w:rsid w:val="00AE1319"/>
    <w:rsid w:val="00AE34BB"/>
    <w:rsid w:val="00B226F2"/>
    <w:rsid w:val="00B274DF"/>
    <w:rsid w:val="00B45D85"/>
    <w:rsid w:val="00B55CF3"/>
    <w:rsid w:val="00B56BDF"/>
    <w:rsid w:val="00B628EC"/>
    <w:rsid w:val="00B65812"/>
    <w:rsid w:val="00B76CD7"/>
    <w:rsid w:val="00B85CD6"/>
    <w:rsid w:val="00B90A27"/>
    <w:rsid w:val="00B94262"/>
    <w:rsid w:val="00B9554D"/>
    <w:rsid w:val="00BA4820"/>
    <w:rsid w:val="00BB2B9F"/>
    <w:rsid w:val="00BB4D89"/>
    <w:rsid w:val="00BB7D9E"/>
    <w:rsid w:val="00BC07B3"/>
    <w:rsid w:val="00BC2334"/>
    <w:rsid w:val="00BD26D4"/>
    <w:rsid w:val="00BD3CB8"/>
    <w:rsid w:val="00BD3FB8"/>
    <w:rsid w:val="00BD410F"/>
    <w:rsid w:val="00BD4E6F"/>
    <w:rsid w:val="00BE5B41"/>
    <w:rsid w:val="00BF32F0"/>
    <w:rsid w:val="00BF3BE5"/>
    <w:rsid w:val="00BF4DCE"/>
    <w:rsid w:val="00C05CE5"/>
    <w:rsid w:val="00C31335"/>
    <w:rsid w:val="00C6171E"/>
    <w:rsid w:val="00C65D28"/>
    <w:rsid w:val="00C91BD8"/>
    <w:rsid w:val="00C93BFE"/>
    <w:rsid w:val="00C9481F"/>
    <w:rsid w:val="00CA1192"/>
    <w:rsid w:val="00CA6F2C"/>
    <w:rsid w:val="00CD6A13"/>
    <w:rsid w:val="00CE1392"/>
    <w:rsid w:val="00CE27FB"/>
    <w:rsid w:val="00CF1871"/>
    <w:rsid w:val="00D01874"/>
    <w:rsid w:val="00D019CE"/>
    <w:rsid w:val="00D109BB"/>
    <w:rsid w:val="00D1133E"/>
    <w:rsid w:val="00D119FA"/>
    <w:rsid w:val="00D1207D"/>
    <w:rsid w:val="00D14737"/>
    <w:rsid w:val="00D17A34"/>
    <w:rsid w:val="00D26628"/>
    <w:rsid w:val="00D332B3"/>
    <w:rsid w:val="00D5336D"/>
    <w:rsid w:val="00D54440"/>
    <w:rsid w:val="00D55207"/>
    <w:rsid w:val="00D61040"/>
    <w:rsid w:val="00D73B87"/>
    <w:rsid w:val="00D75724"/>
    <w:rsid w:val="00D81801"/>
    <w:rsid w:val="00D92B45"/>
    <w:rsid w:val="00D95962"/>
    <w:rsid w:val="00D97B04"/>
    <w:rsid w:val="00DA2F45"/>
    <w:rsid w:val="00DB42ED"/>
    <w:rsid w:val="00DC2E31"/>
    <w:rsid w:val="00DC389B"/>
    <w:rsid w:val="00DD60A9"/>
    <w:rsid w:val="00DE0153"/>
    <w:rsid w:val="00DE2FEE"/>
    <w:rsid w:val="00DF1467"/>
    <w:rsid w:val="00DF56A1"/>
    <w:rsid w:val="00E00BE9"/>
    <w:rsid w:val="00E22A11"/>
    <w:rsid w:val="00E25B62"/>
    <w:rsid w:val="00E31E5C"/>
    <w:rsid w:val="00E3309C"/>
    <w:rsid w:val="00E44DD2"/>
    <w:rsid w:val="00E54B15"/>
    <w:rsid w:val="00E558C3"/>
    <w:rsid w:val="00E55927"/>
    <w:rsid w:val="00E60540"/>
    <w:rsid w:val="00E74F36"/>
    <w:rsid w:val="00E912A6"/>
    <w:rsid w:val="00EA4844"/>
    <w:rsid w:val="00EA4D9C"/>
    <w:rsid w:val="00EA5A97"/>
    <w:rsid w:val="00EB2248"/>
    <w:rsid w:val="00EB75EE"/>
    <w:rsid w:val="00EC6BEA"/>
    <w:rsid w:val="00ED5097"/>
    <w:rsid w:val="00EE04E0"/>
    <w:rsid w:val="00EE3CC5"/>
    <w:rsid w:val="00EE4C1D"/>
    <w:rsid w:val="00EE73A0"/>
    <w:rsid w:val="00EF2977"/>
    <w:rsid w:val="00EF3685"/>
    <w:rsid w:val="00EF64BD"/>
    <w:rsid w:val="00F01A15"/>
    <w:rsid w:val="00F04350"/>
    <w:rsid w:val="00F133DB"/>
    <w:rsid w:val="00F159EB"/>
    <w:rsid w:val="00F25BF4"/>
    <w:rsid w:val="00F267DB"/>
    <w:rsid w:val="00F40248"/>
    <w:rsid w:val="00F46F6F"/>
    <w:rsid w:val="00F60608"/>
    <w:rsid w:val="00F62217"/>
    <w:rsid w:val="00FB17A9"/>
    <w:rsid w:val="00FB527C"/>
    <w:rsid w:val="00FB5F85"/>
    <w:rsid w:val="00FB68A8"/>
    <w:rsid w:val="00FB6F75"/>
    <w:rsid w:val="00FC0EB3"/>
    <w:rsid w:val="00FD1021"/>
    <w:rsid w:val="00FD2577"/>
    <w:rsid w:val="00FD675E"/>
    <w:rsid w:val="00FE5674"/>
    <w:rsid w:val="00FF1761"/>
    <w:rsid w:val="0616717C"/>
    <w:rsid w:val="1FB93D7A"/>
    <w:rsid w:val="2B1C6F4F"/>
    <w:rsid w:val="2FCEC8AC"/>
    <w:rsid w:val="3CD27889"/>
    <w:rsid w:val="3FBEF6C3"/>
    <w:rsid w:val="423A5F76"/>
    <w:rsid w:val="503370F0"/>
    <w:rsid w:val="546C2C8D"/>
    <w:rsid w:val="59BC55F9"/>
    <w:rsid w:val="5CDE2EA2"/>
    <w:rsid w:val="5D884C3D"/>
    <w:rsid w:val="5F926445"/>
    <w:rsid w:val="6B1F55B7"/>
    <w:rsid w:val="6BE66889"/>
    <w:rsid w:val="6D51594B"/>
    <w:rsid w:val="732D105C"/>
    <w:rsid w:val="793D0430"/>
    <w:rsid w:val="7B6B3A5B"/>
    <w:rsid w:val="7D9E742E"/>
    <w:rsid w:val="BFBBE950"/>
    <w:rsid w:val="D7D7B6E1"/>
    <w:rsid w:val="D7F7CB47"/>
    <w:rsid w:val="DBDFAE4C"/>
    <w:rsid w:val="DDFDA7FC"/>
    <w:rsid w:val="EC5DF143"/>
    <w:rsid w:val="FD71E97F"/>
    <w:rsid w:val="FF36C1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A19A75"/>
  <w15:docId w15:val="{80253399-6915-43BF-8C6C-9E87EB5F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Calibri"/>
      <w:sz w:val="22"/>
      <w:szCs w:val="22"/>
    </w:rPr>
  </w:style>
  <w:style w:type="paragraph" w:styleId="Heading1">
    <w:name w:val="heading 1"/>
    <w:basedOn w:val="Normal"/>
    <w:next w:val="BodyText"/>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pPr>
      <w:numPr>
        <w:ilvl w:val="1"/>
        <w:numId w:val="1"/>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pPr>
      <w:keepNext/>
      <w:numPr>
        <w:ilvl w:val="2"/>
        <w:numId w:val="1"/>
      </w:numPr>
      <w:tabs>
        <w:tab w:val="clear" w:pos="1985"/>
        <w:tab w:val="left" w:pos="992"/>
      </w:tabs>
      <w:spacing w:before="120" w:after="120"/>
      <w:ind w:left="992"/>
      <w:outlineLvl w:val="2"/>
    </w:pPr>
    <w:rPr>
      <w:szCs w:val="20"/>
      <w:lang w:eastAsia="de-DE"/>
    </w:rPr>
  </w:style>
  <w:style w:type="paragraph" w:styleId="Heading4">
    <w:name w:val="heading 4"/>
    <w:basedOn w:val="Normal"/>
    <w:next w:val="BodyTextInden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qFormat/>
    <w:pPr>
      <w:spacing w:after="120"/>
      <w:ind w:left="567"/>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semiHidden/>
    <w:qFormat/>
    <w:pPr>
      <w:ind w:left="1200"/>
    </w:pPr>
    <w:rPr>
      <w:sz w:val="20"/>
      <w:szCs w:val="20"/>
    </w:rPr>
  </w:style>
  <w:style w:type="paragraph" w:styleId="CommentText">
    <w:name w:val="annotation text"/>
    <w:basedOn w:val="Normal"/>
    <w:link w:val="CommentTextChar"/>
    <w:uiPriority w:val="99"/>
    <w:semiHidden/>
    <w:unhideWhenUsed/>
    <w:qFormat/>
    <w:rPr>
      <w:sz w:val="20"/>
      <w:szCs w:val="20"/>
    </w:rPr>
  </w:style>
  <w:style w:type="paragraph" w:styleId="TOC5">
    <w:name w:val="toc 5"/>
    <w:basedOn w:val="Normal"/>
    <w:next w:val="Normal"/>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semiHidden/>
    <w:qFormat/>
    <w:pPr>
      <w:ind w:left="1440"/>
    </w:pPr>
    <w:rPr>
      <w:sz w:val="20"/>
      <w:szCs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p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semiHidden/>
    <w:qFormat/>
    <w:rPr>
      <w:sz w:val="20"/>
      <w:szCs w:val="20"/>
    </w:rPr>
  </w:style>
  <w:style w:type="paragraph" w:styleId="TOC6">
    <w:name w:val="toc 6"/>
    <w:basedOn w:val="Normal"/>
    <w:next w:val="Normal"/>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semiHidden/>
    <w:qFormat/>
    <w:pPr>
      <w:ind w:left="1680"/>
    </w:pPr>
    <w:rPr>
      <w:sz w:val="20"/>
      <w:szCs w:val="20"/>
    </w:rPr>
  </w:style>
  <w:style w:type="paragraph" w:styleId="NormalWeb">
    <w:name w:val="Normal (Web)"/>
    <w:basedOn w:val="Normal"/>
    <w:uiPriority w:val="99"/>
    <w:semiHidden/>
    <w:unhideWhenUsed/>
    <w:qFormat/>
    <w:pPr>
      <w:spacing w:beforeAutospacing="1" w:afterAutospacing="1"/>
    </w:pPr>
    <w:rPr>
      <w:rFonts w:cs="Times New Roman"/>
      <w:sz w:val="24"/>
      <w:lang w:val="en-US" w:eastAsia="zh-CN"/>
    </w:rPr>
  </w:style>
  <w:style w:type="paragraph" w:styleId="Title">
    <w:name w:val="Title"/>
    <w:basedOn w:val="Normal"/>
    <w:link w:val="TitleChar"/>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qFormat/>
  </w:style>
  <w:style w:type="character" w:styleId="Hyperlink">
    <w:name w:val="Hyperlink"/>
    <w:uiPriority w:val="99"/>
    <w:qFormat/>
    <w:rPr>
      <w:vertAlign w:val="baselin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semiHidden/>
    <w:qFormat/>
    <w:rPr>
      <w:rFonts w:ascii="Arial" w:hAnsi="Arial"/>
      <w:sz w:val="16"/>
    </w:rPr>
  </w:style>
  <w:style w:type="character" w:customStyle="1" w:styleId="Heading1Char">
    <w:name w:val="Heading 1 Char"/>
    <w:link w:val="Heading1"/>
    <w:qFormat/>
    <w:rPr>
      <w:rFonts w:cs="Calibri"/>
      <w:b/>
      <w:caps/>
      <w:color w:val="0070C0"/>
      <w:kern w:val="28"/>
      <w:sz w:val="24"/>
      <w:szCs w:val="22"/>
      <w:lang w:eastAsia="de-DE"/>
    </w:rPr>
  </w:style>
  <w:style w:type="character" w:customStyle="1" w:styleId="Heading2Char">
    <w:name w:val="Heading 2 Char"/>
    <w:link w:val="Heading2"/>
    <w:qFormat/>
    <w:rPr>
      <w:rFonts w:cs="Calibri"/>
      <w:b/>
      <w:color w:val="0070C0"/>
      <w:sz w:val="24"/>
      <w:szCs w:val="24"/>
    </w:rPr>
  </w:style>
  <w:style w:type="paragraph" w:customStyle="1" w:styleId="Annex">
    <w:name w:val="Annex"/>
    <w:basedOn w:val="Heading1"/>
    <w:next w:val="Normal"/>
    <w:qFormat/>
    <w:pPr>
      <w:numPr>
        <w:numId w:val="2"/>
      </w:numPr>
      <w:tabs>
        <w:tab w:val="left" w:pos="1701"/>
      </w:tabs>
      <w:jc w:val="both"/>
    </w:pPr>
    <w:rPr>
      <w:snapToGrid w:val="0"/>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numPr>
        <w:ilvl w:val="1"/>
        <w:numId w:val="4"/>
      </w:numPr>
      <w:spacing w:before="120" w:after="120"/>
    </w:pPr>
    <w:rPr>
      <w:rFonts w:cs="Arial"/>
      <w:b/>
    </w:rPr>
  </w:style>
  <w:style w:type="paragraph" w:customStyle="1" w:styleId="AnnexHeading3">
    <w:name w:val="Annex Heading 3"/>
    <w:basedOn w:val="Normal"/>
    <w:next w:val="Normal"/>
    <w:qFormat/>
    <w:pPr>
      <w:numPr>
        <w:ilvl w:val="2"/>
        <w:numId w:val="4"/>
      </w:numPr>
      <w:spacing w:before="120" w:after="120"/>
    </w:pPr>
    <w:rPr>
      <w:rFonts w:cs="Arial"/>
    </w:rPr>
  </w:style>
  <w:style w:type="paragraph" w:customStyle="1" w:styleId="AnnexHeading4">
    <w:name w:val="Annex Heading 4"/>
    <w:basedOn w:val="Normal"/>
    <w:next w:val="BodyText"/>
    <w:qFormat/>
    <w:pPr>
      <w:numPr>
        <w:ilvl w:val="3"/>
        <w:numId w:val="4"/>
      </w:numPr>
      <w:spacing w:before="120" w:after="120"/>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8"/>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9"/>
      </w:numPr>
      <w:spacing w:before="120" w:after="120"/>
      <w:jc w:val="center"/>
    </w:pPr>
    <w:rPr>
      <w:i/>
      <w:szCs w:val="20"/>
    </w:rPr>
  </w:style>
  <w:style w:type="character" w:customStyle="1" w:styleId="FooterChar">
    <w:name w:val="Footer Char"/>
    <w:link w:val="Footer"/>
    <w:qFormat/>
    <w:rPr>
      <w:rFonts w:ascii="Arial" w:hAnsi="Arial" w:cs="Times New Roman"/>
      <w:szCs w:val="24"/>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3Char">
    <w:name w:val="Heading 3 Char"/>
    <w:link w:val="Heading3"/>
    <w:qFormat/>
    <w:rPr>
      <w:rFonts w:ascii="Arial" w:hAnsi="Arial" w:cs="Calibri"/>
      <w:sz w:val="22"/>
      <w:lang w:eastAsia="de-DE"/>
    </w:rPr>
  </w:style>
  <w:style w:type="character" w:customStyle="1" w:styleId="Heading4Char">
    <w:name w:val="Heading 4 Char"/>
    <w:link w:val="Heading4"/>
    <w:qFormat/>
    <w:rPr>
      <w:rFonts w:ascii="Arial" w:hAnsi="Arial" w:cs="Calibri"/>
      <w:sz w:val="22"/>
      <w:lang w:val="en-US" w:eastAsia="de-DE"/>
    </w:rPr>
  </w:style>
  <w:style w:type="character" w:customStyle="1" w:styleId="Heading5Char">
    <w:name w:val="Heading 5 Char"/>
    <w:link w:val="Heading5"/>
    <w:qFormat/>
    <w:rPr>
      <w:rFonts w:ascii="Arial" w:eastAsia="Times New Roman" w:hAnsi="Arial"/>
      <w:sz w:val="22"/>
      <w:lang w:val="de-DE" w:eastAsia="de-DE"/>
    </w:rPr>
  </w:style>
  <w:style w:type="character" w:customStyle="1" w:styleId="Heading6Char">
    <w:name w:val="Heading 6 Char"/>
    <w:link w:val="Heading6"/>
    <w:qFormat/>
    <w:rPr>
      <w:rFonts w:ascii="Arial" w:hAnsi="Arial" w:cs="Calibri"/>
      <w:sz w:val="22"/>
      <w:lang w:val="de-DE" w:eastAsia="de-DE"/>
    </w:rPr>
  </w:style>
  <w:style w:type="character" w:customStyle="1" w:styleId="Heading7Char">
    <w:name w:val="Heading 7 Char"/>
    <w:link w:val="Heading7"/>
    <w:qFormat/>
    <w:rPr>
      <w:rFonts w:ascii="Arial" w:hAnsi="Arial" w:cs="Calibri"/>
      <w:sz w:val="22"/>
      <w:lang w:val="de-DE" w:eastAsia="de-DE"/>
    </w:rPr>
  </w:style>
  <w:style w:type="character" w:customStyle="1" w:styleId="Heading8Char">
    <w:name w:val="Heading 8 Char"/>
    <w:link w:val="Heading8"/>
    <w:qFormat/>
    <w:rPr>
      <w:rFonts w:ascii="Arial" w:hAnsi="Arial" w:cs="Calibri"/>
      <w:sz w:val="22"/>
      <w:lang w:val="de-DE" w:eastAsia="de-DE"/>
    </w:rPr>
  </w:style>
  <w:style w:type="character" w:customStyle="1" w:styleId="Heading9Char">
    <w:name w:val="Heading 9 Char"/>
    <w:link w:val="Heading9"/>
    <w:qFormat/>
    <w:rPr>
      <w:rFonts w:ascii="Arial" w:hAnsi="Arial" w:cs="Calibri"/>
      <w:sz w:val="22"/>
      <w:lang w:val="de-DE" w:eastAsia="de-DE"/>
    </w:rPr>
  </w:style>
  <w:style w:type="paragraph" w:customStyle="1" w:styleId="List1">
    <w:name w:val="List 1"/>
    <w:basedOn w:val="Normal"/>
    <w:qFormat/>
    <w:pPr>
      <w:numPr>
        <w:numId w:val="10"/>
      </w:numPr>
      <w:spacing w:after="120"/>
      <w:jc w:val="both"/>
    </w:pPr>
    <w:rPr>
      <w:rFonts w:eastAsia="MS Mincho"/>
      <w:lang w:eastAsia="ja-JP"/>
    </w:rPr>
  </w:style>
  <w:style w:type="paragraph" w:customStyle="1" w:styleId="List1indent2">
    <w:name w:val="List 1 indent 2"/>
    <w:basedOn w:val="Normal"/>
    <w:qFormat/>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hAnsi="Arial" w:cs="Times New Roman"/>
      <w:sz w:val="20"/>
      <w:szCs w:val="20"/>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
    <w:name w:val="List 1 indent 1"/>
    <w:basedOn w:val="Normal"/>
    <w:qFormat/>
    <w:pPr>
      <w:numPr>
        <w:ilvl w:val="1"/>
        <w:numId w:val="10"/>
      </w:numPr>
      <w:tabs>
        <w:tab w:val="clear" w:pos="1135"/>
        <w:tab w:val="left" w:pos="567"/>
        <w:tab w:val="left" w:pos="1134"/>
      </w:tabs>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3074"/>
    <customShpInfo spid="_x0000_s3075"/>
    <customShpInfo spid="_x0000_s3073"/>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8FEF8-24B9-40DD-B5FF-550B4E3BD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B4ABBA5-219F-4AF1-8BA4-1CC0AF4F6A21}">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13E9F45F-FB11-4772-B59C-E54A9DA41A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1677</Words>
  <Characters>9610</Characters>
  <Application>Microsoft Office Word</Application>
  <DocSecurity>0</DocSecurity>
  <Lines>147</Lines>
  <Paragraphs>82</Paragraphs>
  <ScaleCrop>false</ScaleCrop>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7</cp:revision>
  <dcterms:created xsi:type="dcterms:W3CDTF">2025-01-03T23:45:00Z</dcterms:created>
  <dcterms:modified xsi:type="dcterms:W3CDTF">2026-09-01T11:16:00Z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KSOProductBuildVer">
    <vt:lpwstr>2052-12.1.2.22550</vt:lpwstr>
  </property>
  <property fmtid="{D5CDD505-2E9C-101B-9397-08002B2CF9AE}" pid="6" name="KSOTemplateDocerSaveRecord">
    <vt:lpwstr>eyJoZGlkIjoiYTc2ZGZiNzZiNDVlOGViOWVmM2JhOTY0NGJkNjUyYzgiLCJ1c2VySWQiOiIzOTk1NDgyNTQifQ==</vt:lpwstr>
  </property>
  <property fmtid="{D5CDD505-2E9C-101B-9397-08002B2CF9AE}" pid="7" name="ICV">
    <vt:lpwstr>DC6B907F9EEF42F6B2B0ADE918B76DFC_13</vt:lpwstr>
  </property>
  <property fmtid="{D5CDD505-2E9C-101B-9397-08002B2CF9AE}" pid="9" name="docLang">
    <vt:lpwstr>en</vt:lpwstr>
  </property>
</Properties>
</file>